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DA55" w14:textId="77777777" w:rsidR="005D3DF7" w:rsidRPr="00EE35F4" w:rsidRDefault="005D3DF7" w:rsidP="005D3DF7">
      <w:pPr>
        <w:spacing w:before="240" w:after="120"/>
        <w:rPr>
          <w:rFonts w:asciiTheme="majorHAnsi" w:hAnsiTheme="majorHAnsi"/>
          <w:sz w:val="24"/>
        </w:rPr>
      </w:pPr>
      <w:r w:rsidRPr="00EE35F4">
        <w:rPr>
          <w:rFonts w:asciiTheme="majorHAnsi" w:hAnsiTheme="majorHAnsi"/>
          <w:noProof/>
          <w:sz w:val="24"/>
        </w:rPr>
        <mc:AlternateContent>
          <mc:Choice Requires="wps">
            <w:drawing>
              <wp:inline distT="0" distB="0" distL="114300" distR="114300" wp14:anchorId="727B749E" wp14:editId="0535B80E">
                <wp:extent cx="6362700" cy="4035668"/>
                <wp:effectExtent l="0" t="0" r="0" b="3175"/>
                <wp:docPr id="4" name="Rectangle 4" descr="Text box displaying document title and subtitle"/>
                <wp:cNvGraphicFramePr/>
                <a:graphic xmlns:a="http://schemas.openxmlformats.org/drawingml/2006/main">
                  <a:graphicData uri="http://schemas.microsoft.com/office/word/2010/wordprocessingShape">
                    <wps:wsp>
                      <wps:cNvSpPr/>
                      <wps:spPr>
                        <a:xfrm>
                          <a:off x="0" y="0"/>
                          <a:ext cx="6362700" cy="4035668"/>
                        </a:xfrm>
                        <a:prstGeom prst="rect">
                          <a:avLst/>
                        </a:prstGeom>
                        <a:noFill/>
                        <a:ln>
                          <a:noFill/>
                        </a:ln>
                      </wps:spPr>
                      <wps:txbx>
                        <w:txbxContent>
                          <w:p w14:paraId="004AC465" w14:textId="77777777" w:rsidR="00E4147A" w:rsidRPr="000C4F8E" w:rsidRDefault="00E4147A" w:rsidP="005D3DF7">
                            <w:pPr>
                              <w:spacing w:before="600" w:after="80"/>
                              <w:ind w:firstLine="0"/>
                              <w:textDirection w:val="btLr"/>
                              <w:rPr>
                                <w:rFonts w:asciiTheme="majorHAnsi" w:hAnsiTheme="majorHAnsi"/>
                              </w:rPr>
                            </w:pPr>
                            <w:r w:rsidRPr="000C4F8E">
                              <w:rPr>
                                <w:rFonts w:asciiTheme="majorHAnsi" w:hAnsiTheme="majorHAnsi"/>
                                <w:b/>
                                <w:smallCaps/>
                                <w:color w:val="003300"/>
                                <w:sz w:val="52"/>
                              </w:rPr>
                              <w:t>Re-Envisioning Faculty Appointments</w:t>
                            </w:r>
                          </w:p>
                          <w:p w14:paraId="4F5D090B" w14:textId="77777777" w:rsidR="00E4147A" w:rsidRPr="00AC731B" w:rsidRDefault="00E4147A" w:rsidP="005D3DF7">
                            <w:pPr>
                              <w:spacing w:before="200" w:after="80"/>
                              <w:ind w:firstLine="0"/>
                              <w:textDirection w:val="btLr"/>
                              <w:rPr>
                                <w:rFonts w:asciiTheme="majorHAnsi" w:hAnsiTheme="majorHAnsi"/>
                                <w:color w:val="003300"/>
                              </w:rPr>
                            </w:pPr>
                            <w:r w:rsidRPr="00AC731B">
                              <w:rPr>
                                <w:rFonts w:asciiTheme="majorHAnsi" w:hAnsiTheme="majorHAnsi"/>
                                <w:smallCaps/>
                                <w:color w:val="003300"/>
                                <w:sz w:val="36"/>
                              </w:rPr>
                              <w:t>Proposal to Transform non-tenure-track Faculty Appointments                                                                              by the Committee on Non-Tenure-Track Faculty</w:t>
                            </w:r>
                          </w:p>
                          <w:p w14:paraId="3F30C73C" w14:textId="77777777" w:rsidR="00E4147A" w:rsidRPr="000C4F8E" w:rsidRDefault="00E4147A" w:rsidP="005D3DF7">
                            <w:pPr>
                              <w:spacing w:line="275" w:lineRule="auto"/>
                              <w:textDirection w:val="btLr"/>
                              <w:rPr>
                                <w:rFonts w:asciiTheme="majorHAnsi" w:hAnsiTheme="majorHAnsi"/>
                              </w:rPr>
                            </w:pPr>
                          </w:p>
                          <w:p w14:paraId="4D5821A9"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Jennifer Aberle, College of Health &amp; Human Sciences Representative</w:t>
                            </w:r>
                          </w:p>
                          <w:p w14:paraId="49103A91"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Natalie Barnes, College of Liberal Arts Representative</w:t>
                            </w:r>
                          </w:p>
                          <w:p w14:paraId="0EA3B547"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Sue Doe, Faculty-At-Large Representative</w:t>
                            </w:r>
                          </w:p>
                          <w:p w14:paraId="396E2E26"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Joseph DiVerdi, College of Natural Sciences Representative</w:t>
                            </w:r>
                          </w:p>
                          <w:p w14:paraId="52ED3AF9"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David Greene, Faculty-At-Large Representative</w:t>
                            </w:r>
                          </w:p>
                          <w:p w14:paraId="71FC541F"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Jenny Morse, College of Business Representative</w:t>
                            </w:r>
                          </w:p>
                          <w:p w14:paraId="78341827"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Natalie Ooi, Warner College of Natural Resources Representative</w:t>
                            </w:r>
                          </w:p>
                          <w:p w14:paraId="018F89C8"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Steven Schaeffer, College of Engineering Representative</w:t>
                            </w:r>
                          </w:p>
                          <w:p w14:paraId="7AA569A3" w14:textId="77777777" w:rsidR="00E4147A" w:rsidRDefault="00E4147A" w:rsidP="005D3DF7">
                            <w:pPr>
                              <w:spacing w:line="275" w:lineRule="auto"/>
                              <w:textDirection w:val="btLr"/>
                            </w:pPr>
                          </w:p>
                          <w:p w14:paraId="36D283F5" w14:textId="77777777" w:rsidR="00E4147A" w:rsidRDefault="00E4147A" w:rsidP="005D3DF7">
                            <w:pPr>
                              <w:spacing w:line="275" w:lineRule="auto"/>
                              <w:textDirection w:val="btLr"/>
                            </w:pPr>
                          </w:p>
                          <w:p w14:paraId="451D290B" w14:textId="77777777" w:rsidR="00E4147A" w:rsidRDefault="00E4147A" w:rsidP="005D3DF7">
                            <w:pPr>
                              <w:spacing w:before="120" w:line="275" w:lineRule="auto"/>
                              <w:textDirection w:val="btLr"/>
                            </w:pPr>
                          </w:p>
                          <w:p w14:paraId="0ABC5913" w14:textId="77777777" w:rsidR="00E4147A" w:rsidRDefault="00E4147A" w:rsidP="005D3DF7">
                            <w:pPr>
                              <w:spacing w:line="275" w:lineRule="auto"/>
                              <w:textDirection w:val="btLr"/>
                            </w:pPr>
                          </w:p>
                          <w:p w14:paraId="76B1EBB7" w14:textId="77777777" w:rsidR="00E4147A" w:rsidRDefault="00E4147A" w:rsidP="005D3DF7">
                            <w:pPr>
                              <w:spacing w:before="80" w:line="275" w:lineRule="auto"/>
                              <w:textDirection w:val="btLr"/>
                            </w:pPr>
                          </w:p>
                          <w:p w14:paraId="22ACC611" w14:textId="77777777" w:rsidR="00E4147A" w:rsidRDefault="00E4147A" w:rsidP="005D3DF7">
                            <w:pPr>
                              <w:spacing w:before="80" w:line="275" w:lineRule="auto"/>
                              <w:textDirection w:val="btLr"/>
                            </w:pPr>
                          </w:p>
                          <w:p w14:paraId="593733F2" w14:textId="77777777" w:rsidR="00E4147A" w:rsidRDefault="00E4147A" w:rsidP="005D3DF7">
                            <w:pPr>
                              <w:spacing w:line="275" w:lineRule="auto"/>
                              <w:textDirection w:val="btLr"/>
                            </w:pPr>
                          </w:p>
                          <w:p w14:paraId="35D0A67A" w14:textId="77777777" w:rsidR="00E4147A" w:rsidRDefault="00E4147A" w:rsidP="005D3DF7">
                            <w:pPr>
                              <w:spacing w:line="275" w:lineRule="auto"/>
                              <w:textDirection w:val="btLr"/>
                            </w:pPr>
                          </w:p>
                          <w:p w14:paraId="208F6ED0" w14:textId="77777777" w:rsidR="00E4147A" w:rsidRDefault="00E4147A" w:rsidP="005D3DF7">
                            <w:pPr>
                              <w:spacing w:line="275" w:lineRule="auto"/>
                              <w:textDirection w:val="btLr"/>
                            </w:pPr>
                          </w:p>
                          <w:p w14:paraId="399AE8E5" w14:textId="77777777" w:rsidR="00E4147A" w:rsidRDefault="00E4147A" w:rsidP="005D3DF7">
                            <w:pPr>
                              <w:spacing w:line="275" w:lineRule="auto"/>
                              <w:textDirection w:val="btLr"/>
                            </w:pPr>
                          </w:p>
                          <w:p w14:paraId="06E57009" w14:textId="77777777" w:rsidR="00E4147A" w:rsidRDefault="00E4147A" w:rsidP="005D3DF7">
                            <w:pPr>
                              <w:spacing w:line="275" w:lineRule="auto"/>
                              <w:textDirection w:val="btLr"/>
                            </w:pPr>
                          </w:p>
                          <w:p w14:paraId="2B07D0C1" w14:textId="77777777" w:rsidR="00E4147A" w:rsidRDefault="00E4147A" w:rsidP="005D3DF7">
                            <w:pPr>
                              <w:spacing w:line="275" w:lineRule="auto"/>
                              <w:textDirection w:val="btLr"/>
                            </w:pPr>
                          </w:p>
                          <w:p w14:paraId="65E03A87" w14:textId="77777777" w:rsidR="00E4147A" w:rsidRDefault="00E4147A" w:rsidP="005D3DF7">
                            <w:pPr>
                              <w:spacing w:line="275" w:lineRule="auto"/>
                              <w:textDirection w:val="btLr"/>
                            </w:pPr>
                          </w:p>
                          <w:p w14:paraId="663232A5" w14:textId="77777777" w:rsidR="00E4147A" w:rsidRDefault="00E4147A" w:rsidP="005D3DF7">
                            <w:pPr>
                              <w:spacing w:line="275" w:lineRule="auto"/>
                              <w:textDirection w:val="btLr"/>
                            </w:pPr>
                          </w:p>
                          <w:p w14:paraId="2ECDC978" w14:textId="77777777" w:rsidR="00E4147A" w:rsidRDefault="00E4147A" w:rsidP="005D3DF7">
                            <w:pPr>
                              <w:spacing w:line="275" w:lineRule="auto"/>
                              <w:textDirection w:val="btLr"/>
                            </w:pPr>
                          </w:p>
                          <w:p w14:paraId="27B6DF28" w14:textId="77777777" w:rsidR="00E4147A" w:rsidRDefault="00E4147A" w:rsidP="005D3DF7">
                            <w:pPr>
                              <w:spacing w:line="275" w:lineRule="auto"/>
                              <w:textDirection w:val="btLr"/>
                            </w:pPr>
                          </w:p>
                          <w:p w14:paraId="2D9BBDDA" w14:textId="77777777" w:rsidR="00E4147A" w:rsidRDefault="00E4147A" w:rsidP="005D3DF7">
                            <w:pPr>
                              <w:spacing w:line="275" w:lineRule="auto"/>
                              <w:textDirection w:val="btLr"/>
                            </w:pPr>
                          </w:p>
                        </w:txbxContent>
                      </wps:txbx>
                      <wps:bodyPr lIns="0" tIns="0" rIns="0" bIns="0" anchor="t" anchorCtr="0"/>
                    </wps:wsp>
                  </a:graphicData>
                </a:graphic>
              </wp:inline>
            </w:drawing>
          </mc:Choice>
          <mc:Fallback>
            <w:pict>
              <v:rect w14:anchorId="727B749E" id="Rectangle 4" o:spid="_x0000_s1026" alt="Text box displaying document title and subtitle" style="width:501pt;height:3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" filled="f" stroked="f">
                <v:textbox inset="0,0,0,0">
                  <w:txbxContent>
                    <w:p w14:paraId="004AC465" w14:textId="77777777" w:rsidR="00E4147A" w:rsidRPr="000C4F8E" w:rsidRDefault="00E4147A" w:rsidP="005D3DF7">
                      <w:pPr>
                        <w:spacing w:before="600" w:after="80"/>
                        <w:ind w:firstLine="0"/>
                        <w:textDirection w:val="btLr"/>
                        <w:rPr>
                          <w:rFonts w:asciiTheme="majorHAnsi" w:hAnsiTheme="majorHAnsi"/>
                        </w:rPr>
                      </w:pPr>
                      <w:r w:rsidRPr="000C4F8E">
                        <w:rPr>
                          <w:rFonts w:asciiTheme="majorHAnsi" w:hAnsiTheme="majorHAnsi"/>
                          <w:b/>
                          <w:smallCaps/>
                          <w:color w:val="003300"/>
                          <w:sz w:val="52"/>
                        </w:rPr>
                        <w:t>Re-Envisioning Faculty Appointments</w:t>
                      </w:r>
                    </w:p>
                    <w:p w14:paraId="4F5D090B" w14:textId="77777777" w:rsidR="00E4147A" w:rsidRPr="00AC731B" w:rsidRDefault="00E4147A" w:rsidP="005D3DF7">
                      <w:pPr>
                        <w:spacing w:before="200" w:after="80"/>
                        <w:ind w:firstLine="0"/>
                        <w:textDirection w:val="btLr"/>
                        <w:rPr>
                          <w:rFonts w:asciiTheme="majorHAnsi" w:hAnsiTheme="majorHAnsi"/>
                          <w:color w:val="003300"/>
                        </w:rPr>
                      </w:pPr>
                      <w:r w:rsidRPr="00AC731B">
                        <w:rPr>
                          <w:rFonts w:asciiTheme="majorHAnsi" w:hAnsiTheme="majorHAnsi"/>
                          <w:smallCaps/>
                          <w:color w:val="003300"/>
                          <w:sz w:val="36"/>
                        </w:rPr>
                        <w:t>Proposal to Transform non-tenure-track Faculty Appointments                                                                              by the Committee on Non-Tenure-Track Faculty</w:t>
                      </w:r>
                    </w:p>
                    <w:p w14:paraId="3F30C73C" w14:textId="77777777" w:rsidR="00E4147A" w:rsidRPr="000C4F8E" w:rsidRDefault="00E4147A" w:rsidP="005D3DF7">
                      <w:pPr>
                        <w:spacing w:line="275" w:lineRule="auto"/>
                        <w:textDirection w:val="btLr"/>
                        <w:rPr>
                          <w:rFonts w:asciiTheme="majorHAnsi" w:hAnsiTheme="majorHAnsi"/>
                        </w:rPr>
                      </w:pPr>
                    </w:p>
                    <w:p w14:paraId="4D5821A9"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Jennifer Aberle, College of Health &amp; Human Sciences Representative</w:t>
                      </w:r>
                    </w:p>
                    <w:p w14:paraId="49103A91"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Natalie Barnes, College of Liberal Arts Representative</w:t>
                      </w:r>
                    </w:p>
                    <w:p w14:paraId="0EA3B547"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Sue Doe, Faculty-At-Large Representative</w:t>
                      </w:r>
                    </w:p>
                    <w:p w14:paraId="396E2E26"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Joseph DiVerdi, College of Natural Sciences Representative</w:t>
                      </w:r>
                    </w:p>
                    <w:p w14:paraId="52ED3AF9"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David Greene, Faculty-At-Large Representative</w:t>
                      </w:r>
                    </w:p>
                    <w:p w14:paraId="71FC541F"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Jenny Morse, College of Business Representative</w:t>
                      </w:r>
                    </w:p>
                    <w:p w14:paraId="78341827"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Natalie Ooi, Warner College of Natural Resources Representative</w:t>
                      </w:r>
                    </w:p>
                    <w:p w14:paraId="018F89C8" w14:textId="77777777" w:rsidR="00E4147A" w:rsidRPr="000C4F8E" w:rsidRDefault="00E4147A" w:rsidP="005D3DF7">
                      <w:pPr>
                        <w:spacing w:before="120" w:after="80"/>
                        <w:ind w:firstLine="0"/>
                        <w:textDirection w:val="btLr"/>
                        <w:rPr>
                          <w:rFonts w:asciiTheme="majorHAnsi" w:hAnsiTheme="majorHAnsi"/>
                        </w:rPr>
                      </w:pPr>
                      <w:r w:rsidRPr="000C4F8E">
                        <w:rPr>
                          <w:rFonts w:asciiTheme="majorHAnsi" w:hAnsiTheme="majorHAnsi"/>
                          <w:smallCaps/>
                          <w:color w:val="1E2F13"/>
                          <w:sz w:val="24"/>
                        </w:rPr>
                        <w:t>Steven Schaeffer, College of Engineering Representative</w:t>
                      </w:r>
                    </w:p>
                    <w:p w14:paraId="7AA569A3" w14:textId="77777777" w:rsidR="00E4147A" w:rsidRDefault="00E4147A" w:rsidP="005D3DF7">
                      <w:pPr>
                        <w:spacing w:line="275" w:lineRule="auto"/>
                        <w:textDirection w:val="btLr"/>
                      </w:pPr>
                    </w:p>
                    <w:p w14:paraId="36D283F5" w14:textId="77777777" w:rsidR="00E4147A" w:rsidRDefault="00E4147A" w:rsidP="005D3DF7">
                      <w:pPr>
                        <w:spacing w:line="275" w:lineRule="auto"/>
                        <w:textDirection w:val="btLr"/>
                      </w:pPr>
                    </w:p>
                    <w:p w14:paraId="451D290B" w14:textId="77777777" w:rsidR="00E4147A" w:rsidRDefault="00E4147A" w:rsidP="005D3DF7">
                      <w:pPr>
                        <w:spacing w:before="120" w:line="275" w:lineRule="auto"/>
                        <w:textDirection w:val="btLr"/>
                      </w:pPr>
                    </w:p>
                    <w:p w14:paraId="0ABC5913" w14:textId="77777777" w:rsidR="00E4147A" w:rsidRDefault="00E4147A" w:rsidP="005D3DF7">
                      <w:pPr>
                        <w:spacing w:line="275" w:lineRule="auto"/>
                        <w:textDirection w:val="btLr"/>
                      </w:pPr>
                    </w:p>
                    <w:p w14:paraId="76B1EBB7" w14:textId="77777777" w:rsidR="00E4147A" w:rsidRDefault="00E4147A" w:rsidP="005D3DF7">
                      <w:pPr>
                        <w:spacing w:before="80" w:line="275" w:lineRule="auto"/>
                        <w:textDirection w:val="btLr"/>
                      </w:pPr>
                    </w:p>
                    <w:p w14:paraId="22ACC611" w14:textId="77777777" w:rsidR="00E4147A" w:rsidRDefault="00E4147A" w:rsidP="005D3DF7">
                      <w:pPr>
                        <w:spacing w:before="80" w:line="275" w:lineRule="auto"/>
                        <w:textDirection w:val="btLr"/>
                      </w:pPr>
                    </w:p>
                    <w:p w14:paraId="593733F2" w14:textId="77777777" w:rsidR="00E4147A" w:rsidRDefault="00E4147A" w:rsidP="005D3DF7">
                      <w:pPr>
                        <w:spacing w:line="275" w:lineRule="auto"/>
                        <w:textDirection w:val="btLr"/>
                      </w:pPr>
                    </w:p>
                    <w:p w14:paraId="35D0A67A" w14:textId="77777777" w:rsidR="00E4147A" w:rsidRDefault="00E4147A" w:rsidP="005D3DF7">
                      <w:pPr>
                        <w:spacing w:line="275" w:lineRule="auto"/>
                        <w:textDirection w:val="btLr"/>
                      </w:pPr>
                    </w:p>
                    <w:p w14:paraId="208F6ED0" w14:textId="77777777" w:rsidR="00E4147A" w:rsidRDefault="00E4147A" w:rsidP="005D3DF7">
                      <w:pPr>
                        <w:spacing w:line="275" w:lineRule="auto"/>
                        <w:textDirection w:val="btLr"/>
                      </w:pPr>
                    </w:p>
                    <w:p w14:paraId="399AE8E5" w14:textId="77777777" w:rsidR="00E4147A" w:rsidRDefault="00E4147A" w:rsidP="005D3DF7">
                      <w:pPr>
                        <w:spacing w:line="275" w:lineRule="auto"/>
                        <w:textDirection w:val="btLr"/>
                      </w:pPr>
                    </w:p>
                    <w:p w14:paraId="06E57009" w14:textId="77777777" w:rsidR="00E4147A" w:rsidRDefault="00E4147A" w:rsidP="005D3DF7">
                      <w:pPr>
                        <w:spacing w:line="275" w:lineRule="auto"/>
                        <w:textDirection w:val="btLr"/>
                      </w:pPr>
                    </w:p>
                    <w:p w14:paraId="2B07D0C1" w14:textId="77777777" w:rsidR="00E4147A" w:rsidRDefault="00E4147A" w:rsidP="005D3DF7">
                      <w:pPr>
                        <w:spacing w:line="275" w:lineRule="auto"/>
                        <w:textDirection w:val="btLr"/>
                      </w:pPr>
                    </w:p>
                    <w:p w14:paraId="65E03A87" w14:textId="77777777" w:rsidR="00E4147A" w:rsidRDefault="00E4147A" w:rsidP="005D3DF7">
                      <w:pPr>
                        <w:spacing w:line="275" w:lineRule="auto"/>
                        <w:textDirection w:val="btLr"/>
                      </w:pPr>
                    </w:p>
                    <w:p w14:paraId="663232A5" w14:textId="77777777" w:rsidR="00E4147A" w:rsidRDefault="00E4147A" w:rsidP="005D3DF7">
                      <w:pPr>
                        <w:spacing w:line="275" w:lineRule="auto"/>
                        <w:textDirection w:val="btLr"/>
                      </w:pPr>
                    </w:p>
                    <w:p w14:paraId="2ECDC978" w14:textId="77777777" w:rsidR="00E4147A" w:rsidRDefault="00E4147A" w:rsidP="005D3DF7">
                      <w:pPr>
                        <w:spacing w:line="275" w:lineRule="auto"/>
                        <w:textDirection w:val="btLr"/>
                      </w:pPr>
                    </w:p>
                    <w:p w14:paraId="27B6DF28" w14:textId="77777777" w:rsidR="00E4147A" w:rsidRDefault="00E4147A" w:rsidP="005D3DF7">
                      <w:pPr>
                        <w:spacing w:line="275" w:lineRule="auto"/>
                        <w:textDirection w:val="btLr"/>
                      </w:pPr>
                    </w:p>
                    <w:p w14:paraId="2D9BBDDA" w14:textId="77777777" w:rsidR="00E4147A" w:rsidRDefault="00E4147A" w:rsidP="005D3DF7">
                      <w:pPr>
                        <w:spacing w:line="275" w:lineRule="auto"/>
                        <w:textDirection w:val="btLr"/>
                      </w:pPr>
                    </w:p>
                  </w:txbxContent>
                </v:textbox>
                <w10:anchorlock/>
              </v:rect>
            </w:pict>
          </mc:Fallback>
        </mc:AlternateContent>
      </w:r>
      <w:r w:rsidRPr="00EE35F4">
        <w:rPr>
          <w:rFonts w:asciiTheme="majorHAnsi" w:hAnsiTheme="majorHAnsi"/>
          <w:noProof/>
          <w:sz w:val="24"/>
        </w:rPr>
        <mc:AlternateContent>
          <mc:Choice Requires="wps">
            <w:drawing>
              <wp:anchor distT="0" distB="0" distL="114300" distR="114300" simplePos="0" relativeHeight="251659264" behindDoc="0" locked="0" layoutInCell="0" hidden="0" allowOverlap="1" wp14:anchorId="78E29EDD" wp14:editId="28F583D1">
                <wp:simplePos x="0" y="0"/>
                <wp:positionH relativeFrom="margin">
                  <wp:posOffset>-203199</wp:posOffset>
                </wp:positionH>
                <wp:positionV relativeFrom="paragraph">
                  <wp:posOffset>292100</wp:posOffset>
                </wp:positionV>
                <wp:extent cx="4559300" cy="228600"/>
                <wp:effectExtent l="0" t="0" r="0" b="0"/>
                <wp:wrapNone/>
                <wp:docPr id="3" name="Rectangle 3"/>
                <wp:cNvGraphicFramePr/>
                <a:graphic xmlns:a="http://schemas.openxmlformats.org/drawingml/2006/main">
                  <a:graphicData uri="http://schemas.microsoft.com/office/word/2010/wordprocessingShape">
                    <wps:wsp>
                      <wps:cNvSpPr/>
                      <wps:spPr>
                        <a:xfrm>
                          <a:off x="3107625" y="3708246"/>
                          <a:ext cx="4476748" cy="143509"/>
                        </a:xfrm>
                        <a:prstGeom prst="rect">
                          <a:avLst/>
                        </a:prstGeom>
                        <a:solidFill>
                          <a:schemeClr val="lt1"/>
                        </a:solidFill>
                        <a:ln w="12700" cap="flat" cmpd="sng">
                          <a:solidFill>
                            <a:schemeClr val="lt1"/>
                          </a:solidFill>
                          <a:prstDash val="solid"/>
                          <a:miter/>
                          <a:headEnd type="none" w="med" len="med"/>
                          <a:tailEnd type="none" w="med" len="med"/>
                        </a:ln>
                      </wps:spPr>
                      <wps:txbx>
                        <w:txbxContent>
                          <w:p w14:paraId="04AAF48C" w14:textId="77777777" w:rsidR="00E4147A" w:rsidRDefault="00E4147A" w:rsidP="005D3DF7">
                            <w:pPr>
                              <w:textDirection w:val="btLr"/>
                            </w:pPr>
                          </w:p>
                        </w:txbxContent>
                      </wps:txbx>
                      <wps:bodyPr lIns="91425" tIns="91425" rIns="91425" bIns="91425" anchor="ctr" anchorCtr="0"/>
                    </wps:wsp>
                  </a:graphicData>
                </a:graphic>
              </wp:anchor>
            </w:drawing>
          </mc:Choice>
          <mc:Fallback>
            <w:pict>
              <v:rect w14:anchorId="78E29EDD" id="Rectangle 3" o:spid="_x0000_s1027" style="position:absolute;left:0;text-align:left;margin-left:-16pt;margin-top:23pt;width:359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" o:allowincell="f" fillcolor="white [3201]" strokecolor="white [3201]" strokeweight="1pt">
                <v:textbox inset="2.53958mm,2.53958mm,2.53958mm,2.53958mm">
                  <w:txbxContent>
                    <w:p w14:paraId="04AAF48C" w14:textId="77777777" w:rsidR="00E4147A" w:rsidRDefault="00E4147A" w:rsidP="005D3DF7">
                      <w:pPr>
                        <w:textDirection w:val="btLr"/>
                      </w:pPr>
                    </w:p>
                  </w:txbxContent>
                </v:textbox>
                <w10:wrap anchorx="margin"/>
              </v:rect>
            </w:pict>
          </mc:Fallback>
        </mc:AlternateContent>
      </w:r>
    </w:p>
    <w:p w14:paraId="6733D7AA" w14:textId="77777777" w:rsidR="005D3DF7" w:rsidRPr="00EE35F4" w:rsidRDefault="005D3DF7" w:rsidP="005D3DF7">
      <w:pPr>
        <w:spacing w:before="240" w:after="120"/>
        <w:ind w:left="-990" w:right="-864" w:firstLine="0"/>
        <w:rPr>
          <w:rFonts w:asciiTheme="majorHAnsi" w:hAnsiTheme="majorHAnsi"/>
          <w:sz w:val="24"/>
        </w:rPr>
      </w:pPr>
    </w:p>
    <w:p w14:paraId="4AE582C1" w14:textId="77777777" w:rsidR="005D3DF7" w:rsidRPr="009C5AC6" w:rsidRDefault="005D3DF7" w:rsidP="005D3DF7">
      <w:pPr>
        <w:spacing w:before="240" w:after="120"/>
        <w:rPr>
          <w:rFonts w:asciiTheme="majorHAnsi" w:hAnsiTheme="majorHAnsi"/>
          <w:color w:val="003300"/>
          <w:sz w:val="28"/>
        </w:rPr>
      </w:pPr>
      <w:r w:rsidRPr="009C5AC6">
        <w:rPr>
          <w:rFonts w:asciiTheme="majorHAnsi" w:hAnsiTheme="majorHAnsi"/>
          <w:color w:val="003300"/>
          <w:sz w:val="40"/>
          <w:szCs w:val="32"/>
        </w:rPr>
        <w:t>June 2016</w:t>
      </w:r>
    </w:p>
    <w:sdt>
      <w:sdtPr>
        <w:rPr>
          <w:rFonts w:ascii="Calibri" w:eastAsia="Calibri" w:hAnsi="Calibri" w:cs="Calibri"/>
          <w:color w:val="000000"/>
          <w:sz w:val="36"/>
          <w:szCs w:val="22"/>
        </w:rPr>
        <w:id w:val="-1536188409"/>
        <w:docPartObj>
          <w:docPartGallery w:val="Table of Contents"/>
          <w:docPartUnique/>
        </w:docPartObj>
      </w:sdtPr>
      <w:sdtEndPr>
        <w:rPr>
          <w:b/>
          <w:bCs/>
          <w:noProof/>
          <w:sz w:val="24"/>
        </w:rPr>
      </w:sdtEndPr>
      <w:sdtContent>
        <w:p w14:paraId="61D5F277" w14:textId="77777777" w:rsidR="005D3DF7" w:rsidRPr="00EE35F4" w:rsidRDefault="005D3DF7" w:rsidP="005D3DF7">
          <w:pPr>
            <w:pStyle w:val="TOCHeading"/>
            <w:tabs>
              <w:tab w:val="center" w:pos="4680"/>
            </w:tabs>
            <w:spacing w:after="120"/>
            <w:rPr>
              <w:sz w:val="36"/>
            </w:rPr>
            <w:sectPr w:rsidR="005D3DF7" w:rsidRPr="00EE35F4" w:rsidSect="00B848BA">
              <w:footerReference w:type="default" r:id="rId8"/>
              <w:headerReference w:type="first" r:id="rId9"/>
              <w:footerReference w:type="first" r:id="rId10"/>
              <w:pgSz w:w="12240" w:h="15840"/>
              <w:pgMar w:top="720" w:right="1008" w:bottom="720" w:left="1008" w:header="720" w:footer="720" w:gutter="0"/>
              <w:pgNumType w:start="1"/>
              <w:cols w:space="720" w:equalWidth="0">
                <w:col w:w="9504"/>
              </w:cols>
              <w:docGrid w:linePitch="299"/>
            </w:sectPr>
          </w:pPr>
        </w:p>
        <w:p w14:paraId="67C39C97" w14:textId="77777777" w:rsidR="005D3DF7" w:rsidRPr="00AC731B" w:rsidRDefault="005D3DF7" w:rsidP="005D3DF7">
          <w:pPr>
            <w:pStyle w:val="Heading1"/>
            <w:spacing w:before="240" w:after="120"/>
            <w:rPr>
              <w:rFonts w:asciiTheme="majorHAnsi" w:hAnsiTheme="majorHAnsi"/>
              <w:color w:val="003300"/>
              <w:sz w:val="28"/>
            </w:rPr>
          </w:pPr>
          <w:bookmarkStart w:id="0" w:name="_Toc452993092"/>
          <w:r w:rsidRPr="00AC731B">
            <w:rPr>
              <w:rFonts w:asciiTheme="majorHAnsi" w:hAnsiTheme="majorHAnsi"/>
              <w:color w:val="003300"/>
              <w:sz w:val="36"/>
              <w:szCs w:val="32"/>
            </w:rPr>
            <w:lastRenderedPageBreak/>
            <w:t>Table of Contents</w:t>
          </w:r>
          <w:bookmarkEnd w:id="0"/>
        </w:p>
        <w:p w14:paraId="565B3322" w14:textId="5B7E5E3F" w:rsidR="005D3DF7" w:rsidRPr="00997782" w:rsidRDefault="005D3DF7" w:rsidP="0030574E">
          <w:pPr>
            <w:pStyle w:val="TOC1"/>
            <w:tabs>
              <w:tab w:val="right" w:leader="dot" w:pos="9494"/>
            </w:tabs>
            <w:spacing w:before="240"/>
            <w:ind w:firstLine="0"/>
            <w:rPr>
              <w:rFonts w:asciiTheme="majorHAnsi" w:eastAsiaTheme="minorEastAsia" w:hAnsiTheme="majorHAnsi" w:cstheme="minorBidi"/>
              <w:b w:val="0"/>
              <w:bCs w:val="0"/>
              <w:caps w:val="0"/>
              <w:noProof/>
              <w:color w:val="auto"/>
              <w:sz w:val="22"/>
              <w:szCs w:val="22"/>
            </w:rPr>
          </w:pPr>
          <w:r w:rsidRPr="0030574E">
            <w:rPr>
              <w:rFonts w:asciiTheme="majorHAnsi" w:hAnsiTheme="majorHAnsi"/>
              <w:bCs w:val="0"/>
              <w:caps w:val="0"/>
              <w:sz w:val="22"/>
              <w:szCs w:val="22"/>
            </w:rPr>
            <w:fldChar w:fldCharType="begin"/>
          </w:r>
          <w:r w:rsidRPr="0030574E">
            <w:rPr>
              <w:rFonts w:asciiTheme="majorHAnsi" w:hAnsiTheme="majorHAnsi"/>
              <w:bCs w:val="0"/>
              <w:caps w:val="0"/>
              <w:sz w:val="22"/>
              <w:szCs w:val="22"/>
            </w:rPr>
            <w:instrText xml:space="preserve"> TOC \o "1-2" \u </w:instrText>
          </w:r>
          <w:r w:rsidRPr="0030574E">
            <w:rPr>
              <w:rFonts w:asciiTheme="majorHAnsi" w:hAnsiTheme="majorHAnsi"/>
              <w:bCs w:val="0"/>
              <w:caps w:val="0"/>
              <w:sz w:val="22"/>
              <w:szCs w:val="22"/>
            </w:rPr>
            <w:fldChar w:fldCharType="separate"/>
          </w:r>
          <w:r w:rsidRPr="00997782">
            <w:rPr>
              <w:rFonts w:asciiTheme="majorHAnsi" w:hAnsiTheme="majorHAnsi"/>
              <w:noProof/>
              <w:sz w:val="22"/>
              <w:szCs w:val="22"/>
            </w:rPr>
            <w:t>Executive Summary</w:t>
          </w:r>
          <w:r w:rsidR="0030574E" w:rsidRPr="00997782">
            <w:rPr>
              <w:rFonts w:asciiTheme="majorHAnsi" w:hAnsiTheme="majorHAnsi"/>
              <w:b w:val="0"/>
              <w:noProof/>
              <w:sz w:val="22"/>
              <w:szCs w:val="22"/>
            </w:rPr>
            <w:tab/>
          </w:r>
          <w:r w:rsidR="0030574E" w:rsidRPr="00AA0B68">
            <w:rPr>
              <w:rFonts w:asciiTheme="majorHAnsi" w:hAnsiTheme="majorHAnsi"/>
              <w:b w:val="0"/>
              <w:noProof/>
              <w:sz w:val="22"/>
              <w:szCs w:val="22"/>
            </w:rPr>
            <w:t>II</w:t>
          </w:r>
          <w:r w:rsidRPr="00997782">
            <w:rPr>
              <w:rFonts w:asciiTheme="majorHAnsi" w:hAnsiTheme="majorHAnsi"/>
              <w:noProof/>
              <w:sz w:val="22"/>
              <w:szCs w:val="22"/>
            </w:rPr>
            <w:t xml:space="preserve"> </w:t>
          </w:r>
        </w:p>
        <w:p w14:paraId="03C576DF" w14:textId="0E087D48" w:rsidR="00BE2067" w:rsidRPr="00997782" w:rsidRDefault="005D3DF7" w:rsidP="0030574E">
          <w:pPr>
            <w:pStyle w:val="TOC1"/>
            <w:tabs>
              <w:tab w:val="right" w:leader="dot" w:pos="9494"/>
            </w:tabs>
            <w:spacing w:before="240"/>
            <w:ind w:firstLine="0"/>
            <w:rPr>
              <w:rFonts w:asciiTheme="majorHAnsi" w:hAnsiTheme="majorHAnsi"/>
              <w:noProof/>
              <w:sz w:val="22"/>
              <w:szCs w:val="22"/>
            </w:rPr>
          </w:pPr>
          <w:r w:rsidRPr="00997782">
            <w:rPr>
              <w:rFonts w:asciiTheme="majorHAnsi" w:hAnsiTheme="majorHAnsi"/>
              <w:noProof/>
              <w:sz w:val="22"/>
              <w:szCs w:val="22"/>
            </w:rPr>
            <w:t>Foreword</w:t>
          </w:r>
          <w:r w:rsidR="0030574E" w:rsidRPr="00997782">
            <w:rPr>
              <w:rFonts w:asciiTheme="majorHAnsi" w:hAnsiTheme="majorHAnsi"/>
              <w:b w:val="0"/>
              <w:noProof/>
              <w:sz w:val="22"/>
              <w:szCs w:val="22"/>
            </w:rPr>
            <w:tab/>
          </w:r>
          <w:r w:rsidR="0030574E" w:rsidRPr="00AA0B68">
            <w:rPr>
              <w:rFonts w:asciiTheme="majorHAnsi" w:hAnsiTheme="majorHAnsi"/>
              <w:b w:val="0"/>
              <w:noProof/>
              <w:sz w:val="22"/>
              <w:szCs w:val="22"/>
            </w:rPr>
            <w:t>III</w:t>
          </w:r>
        </w:p>
        <w:p w14:paraId="496E027B" w14:textId="45E0A6FF" w:rsidR="005D3DF7" w:rsidRPr="00997782" w:rsidRDefault="00BE2067" w:rsidP="0030574E">
          <w:pPr>
            <w:pStyle w:val="TOC1"/>
            <w:tabs>
              <w:tab w:val="right" w:leader="dot" w:pos="9494"/>
            </w:tabs>
            <w:spacing w:before="240"/>
            <w:ind w:firstLine="0"/>
            <w:rPr>
              <w:rFonts w:asciiTheme="majorHAnsi" w:eastAsiaTheme="minorEastAsia" w:hAnsiTheme="majorHAnsi" w:cstheme="minorBidi"/>
              <w:b w:val="0"/>
              <w:bCs w:val="0"/>
              <w:caps w:val="0"/>
              <w:noProof/>
              <w:color w:val="auto"/>
              <w:sz w:val="22"/>
              <w:szCs w:val="22"/>
            </w:rPr>
          </w:pPr>
          <w:r w:rsidRPr="00997782">
            <w:rPr>
              <w:rFonts w:asciiTheme="majorHAnsi" w:hAnsiTheme="majorHAnsi"/>
              <w:noProof/>
              <w:sz w:val="22"/>
              <w:szCs w:val="22"/>
            </w:rPr>
            <w:t>summary illustration</w:t>
          </w:r>
          <w:r w:rsidR="0030574E" w:rsidRPr="00997782">
            <w:rPr>
              <w:rFonts w:asciiTheme="majorHAnsi" w:hAnsiTheme="majorHAnsi"/>
              <w:b w:val="0"/>
              <w:noProof/>
              <w:sz w:val="22"/>
              <w:szCs w:val="22"/>
            </w:rPr>
            <w:tab/>
          </w:r>
          <w:r w:rsidR="0030574E" w:rsidRPr="00AA0B68">
            <w:rPr>
              <w:rFonts w:asciiTheme="majorHAnsi" w:hAnsiTheme="majorHAnsi"/>
              <w:b w:val="0"/>
              <w:noProof/>
              <w:sz w:val="22"/>
              <w:szCs w:val="22"/>
            </w:rPr>
            <w:t>IV</w:t>
          </w:r>
        </w:p>
        <w:p w14:paraId="1C620EBD" w14:textId="46AB910C" w:rsidR="005D3DF7" w:rsidRPr="00997782" w:rsidRDefault="005D3DF7" w:rsidP="0030574E">
          <w:pPr>
            <w:pStyle w:val="TOC1"/>
            <w:tabs>
              <w:tab w:val="right" w:leader="dot" w:pos="9494"/>
            </w:tabs>
            <w:spacing w:before="240"/>
            <w:ind w:firstLine="0"/>
            <w:rPr>
              <w:rFonts w:asciiTheme="majorHAnsi" w:eastAsiaTheme="minorEastAsia" w:hAnsiTheme="majorHAnsi" w:cstheme="minorBidi"/>
              <w:b w:val="0"/>
              <w:bCs w:val="0"/>
              <w:caps w:val="0"/>
              <w:noProof/>
              <w:color w:val="auto"/>
              <w:sz w:val="22"/>
              <w:szCs w:val="22"/>
            </w:rPr>
          </w:pPr>
          <w:r w:rsidRPr="00997782">
            <w:rPr>
              <w:rFonts w:asciiTheme="majorHAnsi" w:hAnsiTheme="majorHAnsi"/>
              <w:noProof/>
              <w:sz w:val="22"/>
              <w:szCs w:val="22"/>
            </w:rPr>
            <w:t>The Proposal: Transformation of Non-Tenure-Track Faculty Appointments</w:t>
          </w:r>
          <w:r w:rsidR="0030574E" w:rsidRPr="00997782">
            <w:rPr>
              <w:rFonts w:asciiTheme="majorHAnsi" w:hAnsiTheme="majorHAnsi"/>
              <w:b w:val="0"/>
              <w:noProof/>
              <w:sz w:val="22"/>
              <w:szCs w:val="22"/>
            </w:rPr>
            <w:tab/>
          </w:r>
          <w:r w:rsidR="0030574E" w:rsidRPr="00AA0B68">
            <w:rPr>
              <w:rFonts w:asciiTheme="majorHAnsi" w:hAnsiTheme="majorHAnsi"/>
              <w:b w:val="0"/>
              <w:noProof/>
              <w:sz w:val="22"/>
              <w:szCs w:val="22"/>
            </w:rPr>
            <w:t>1</w:t>
          </w:r>
        </w:p>
        <w:p w14:paraId="5CD51650" w14:textId="362A14ED" w:rsidR="00997782" w:rsidRDefault="000B263D" w:rsidP="00AA0B68">
          <w:pPr>
            <w:pStyle w:val="TOC2"/>
          </w:pPr>
          <w:r w:rsidRPr="00997782">
            <w:t>P</w:t>
          </w:r>
          <w:r w:rsidR="005D3DF7" w:rsidRPr="00997782">
            <w:t>roposed change</w:t>
          </w:r>
          <w:r w:rsidR="0039269C">
            <w:t>:</w:t>
          </w:r>
          <w:r w:rsidR="005D3DF7" w:rsidRPr="00997782">
            <w:t xml:space="preserve"> Transforming Current Faculty Appointments off of the Tenure Track</w:t>
          </w:r>
          <w:r w:rsidR="0030574E" w:rsidRPr="00997782">
            <w:tab/>
            <w:t>4</w:t>
          </w:r>
        </w:p>
        <w:p w14:paraId="51AFEED6" w14:textId="607753C2" w:rsidR="0034796D" w:rsidRPr="00997782" w:rsidRDefault="0034796D" w:rsidP="00AA0B68">
          <w:pPr>
            <w:pStyle w:val="TOC2"/>
          </w:pPr>
          <w:r w:rsidRPr="00997782">
            <w:t xml:space="preserve">Five </w:t>
          </w:r>
          <w:r w:rsidR="0089123D" w:rsidRPr="00997782">
            <w:t>New A</w:t>
          </w:r>
          <w:r w:rsidRPr="00997782">
            <w:t xml:space="preserve">ppointment </w:t>
          </w:r>
          <w:r w:rsidR="0089123D" w:rsidRPr="00997782">
            <w:t>Types for Faculty off of the Tenure T</w:t>
          </w:r>
          <w:r w:rsidRPr="00997782">
            <w:t>ra</w:t>
          </w:r>
          <w:r w:rsidR="0089123D" w:rsidRPr="00997782">
            <w:t>ck</w:t>
          </w:r>
          <w:r w:rsidR="00997782" w:rsidRPr="00997782">
            <w:tab/>
            <w:t>4</w:t>
          </w:r>
        </w:p>
        <w:p w14:paraId="3174E244" w14:textId="55CACF9F" w:rsidR="000B263D" w:rsidRPr="00997782" w:rsidRDefault="000B263D" w:rsidP="00AA0B68">
          <w:pPr>
            <w:pStyle w:val="TOC2"/>
          </w:pPr>
          <w:r w:rsidRPr="00997782">
            <w:t>Conversion and Considerations f</w:t>
          </w:r>
          <w:r w:rsidR="00342998" w:rsidRPr="00997782">
            <w:t>or Current nttf at cs</w:t>
          </w:r>
          <w:r w:rsidR="00984260" w:rsidRPr="00997782">
            <w:t>u</w:t>
          </w:r>
          <w:r w:rsidR="0030574E" w:rsidRPr="00997782">
            <w:tab/>
            <w:t>9</w:t>
          </w:r>
        </w:p>
        <w:p w14:paraId="6C190944" w14:textId="356184F9" w:rsidR="005D3DF7" w:rsidRPr="00997782" w:rsidRDefault="005D3DF7" w:rsidP="0069369F">
          <w:pPr>
            <w:pStyle w:val="TOC1"/>
            <w:tabs>
              <w:tab w:val="right" w:leader="dot" w:pos="9540"/>
            </w:tabs>
            <w:spacing w:before="240"/>
            <w:ind w:firstLine="0"/>
            <w:rPr>
              <w:rFonts w:asciiTheme="majorHAnsi" w:eastAsiaTheme="minorEastAsia" w:hAnsiTheme="majorHAnsi" w:cstheme="minorBidi"/>
              <w:b w:val="0"/>
              <w:bCs w:val="0"/>
              <w:caps w:val="0"/>
              <w:noProof/>
              <w:color w:val="auto"/>
              <w:sz w:val="22"/>
              <w:szCs w:val="22"/>
            </w:rPr>
          </w:pPr>
          <w:r w:rsidRPr="00997782">
            <w:rPr>
              <w:rFonts w:asciiTheme="majorHAnsi" w:hAnsiTheme="majorHAnsi"/>
              <w:noProof/>
              <w:sz w:val="22"/>
              <w:szCs w:val="22"/>
            </w:rPr>
            <w:t>The Rationale for This Proposal</w:t>
          </w:r>
          <w:r w:rsidR="0030574E" w:rsidRPr="00997782">
            <w:rPr>
              <w:rFonts w:asciiTheme="majorHAnsi" w:hAnsiTheme="majorHAnsi"/>
              <w:b w:val="0"/>
              <w:noProof/>
              <w:sz w:val="22"/>
              <w:szCs w:val="22"/>
            </w:rPr>
            <w:tab/>
          </w:r>
          <w:r w:rsidR="0030574E" w:rsidRPr="00AA0B68">
            <w:rPr>
              <w:rFonts w:asciiTheme="majorHAnsi" w:hAnsiTheme="majorHAnsi"/>
              <w:b w:val="0"/>
              <w:noProof/>
              <w:sz w:val="22"/>
              <w:szCs w:val="22"/>
            </w:rPr>
            <w:t>11</w:t>
          </w:r>
        </w:p>
        <w:p w14:paraId="1785693F" w14:textId="7643FCC1" w:rsidR="00F32D24" w:rsidRPr="00997782" w:rsidRDefault="005D3DF7" w:rsidP="0069369F">
          <w:pPr>
            <w:pStyle w:val="TOC1"/>
            <w:tabs>
              <w:tab w:val="right" w:leader="dot" w:pos="9540"/>
            </w:tabs>
            <w:spacing w:before="240"/>
            <w:ind w:firstLine="0"/>
            <w:rPr>
              <w:rFonts w:asciiTheme="majorHAnsi" w:hAnsiTheme="majorHAnsi"/>
              <w:noProof/>
              <w:sz w:val="22"/>
              <w:szCs w:val="22"/>
            </w:rPr>
          </w:pPr>
          <w:r w:rsidRPr="00997782">
            <w:rPr>
              <w:rFonts w:asciiTheme="majorHAnsi" w:hAnsiTheme="majorHAnsi"/>
              <w:noProof/>
              <w:sz w:val="22"/>
              <w:szCs w:val="22"/>
            </w:rPr>
            <w:t>The Context for this Proposal</w:t>
          </w:r>
          <w:r w:rsidR="0030574E" w:rsidRPr="00997782">
            <w:rPr>
              <w:rFonts w:asciiTheme="majorHAnsi" w:hAnsiTheme="majorHAnsi"/>
              <w:b w:val="0"/>
              <w:noProof/>
              <w:sz w:val="22"/>
              <w:szCs w:val="22"/>
            </w:rPr>
            <w:tab/>
          </w:r>
          <w:r w:rsidR="0030574E" w:rsidRPr="00AA0B68">
            <w:rPr>
              <w:rFonts w:asciiTheme="majorHAnsi" w:hAnsiTheme="majorHAnsi"/>
              <w:b w:val="0"/>
              <w:noProof/>
              <w:sz w:val="22"/>
              <w:szCs w:val="22"/>
            </w:rPr>
            <w:t>14</w:t>
          </w:r>
        </w:p>
        <w:p w14:paraId="74234CF5" w14:textId="1CF82FFE" w:rsidR="000B263D" w:rsidRPr="00997782" w:rsidRDefault="000B263D" w:rsidP="0069369F">
          <w:pPr>
            <w:tabs>
              <w:tab w:val="right" w:leader="dot" w:pos="9540"/>
            </w:tabs>
            <w:spacing w:before="240" w:after="120"/>
            <w:ind w:firstLine="0"/>
            <w:rPr>
              <w:rFonts w:asciiTheme="majorHAnsi" w:hAnsiTheme="majorHAnsi"/>
              <w:b/>
              <w:noProof/>
            </w:rPr>
          </w:pPr>
          <w:r w:rsidRPr="00997782">
            <w:rPr>
              <w:rFonts w:asciiTheme="majorHAnsi" w:hAnsiTheme="majorHAnsi"/>
              <w:b/>
              <w:noProof/>
            </w:rPr>
            <w:t>THE PROBLEM WITH CONTINGENCY</w:t>
          </w:r>
          <w:r w:rsidR="0030574E" w:rsidRPr="00997782">
            <w:rPr>
              <w:rFonts w:asciiTheme="majorHAnsi" w:hAnsiTheme="majorHAnsi"/>
              <w:noProof/>
            </w:rPr>
            <w:tab/>
          </w:r>
          <w:r w:rsidR="0030574E" w:rsidRPr="00AA0B68">
            <w:rPr>
              <w:rFonts w:asciiTheme="majorHAnsi" w:hAnsiTheme="majorHAnsi"/>
              <w:noProof/>
            </w:rPr>
            <w:t>16</w:t>
          </w:r>
        </w:p>
        <w:p w14:paraId="094C4041" w14:textId="0F93E822" w:rsidR="005D3DF7" w:rsidRPr="00997782" w:rsidRDefault="005D3DF7" w:rsidP="0069369F">
          <w:pPr>
            <w:pStyle w:val="TOC1"/>
            <w:tabs>
              <w:tab w:val="right" w:leader="dot" w:pos="9540"/>
            </w:tabs>
            <w:spacing w:before="240"/>
            <w:ind w:firstLine="0"/>
            <w:rPr>
              <w:rFonts w:asciiTheme="majorHAnsi" w:eastAsiaTheme="minorEastAsia" w:hAnsiTheme="majorHAnsi" w:cstheme="minorBidi"/>
              <w:b w:val="0"/>
              <w:bCs w:val="0"/>
              <w:caps w:val="0"/>
              <w:noProof/>
              <w:color w:val="auto"/>
              <w:sz w:val="22"/>
              <w:szCs w:val="22"/>
            </w:rPr>
          </w:pPr>
          <w:r w:rsidRPr="00997782">
            <w:rPr>
              <w:rFonts w:asciiTheme="majorHAnsi" w:hAnsiTheme="majorHAnsi"/>
              <w:noProof/>
              <w:sz w:val="22"/>
              <w:szCs w:val="22"/>
            </w:rPr>
            <w:t>Phases of Development &amp; Timeline for Implementation</w:t>
          </w:r>
          <w:r w:rsidRPr="00997782">
            <w:rPr>
              <w:rFonts w:asciiTheme="majorHAnsi" w:hAnsiTheme="majorHAnsi"/>
              <w:b w:val="0"/>
              <w:noProof/>
              <w:sz w:val="22"/>
              <w:szCs w:val="22"/>
            </w:rPr>
            <w:tab/>
          </w:r>
          <w:r w:rsidR="00686D72" w:rsidRPr="00AA0B68">
            <w:rPr>
              <w:rFonts w:asciiTheme="majorHAnsi" w:hAnsiTheme="majorHAnsi"/>
              <w:b w:val="0"/>
              <w:noProof/>
              <w:sz w:val="22"/>
              <w:szCs w:val="22"/>
            </w:rPr>
            <w:t>1</w:t>
          </w:r>
          <w:r w:rsidR="00A02882" w:rsidRPr="00AA0B68">
            <w:rPr>
              <w:rFonts w:asciiTheme="majorHAnsi" w:hAnsiTheme="majorHAnsi"/>
              <w:b w:val="0"/>
              <w:noProof/>
              <w:sz w:val="22"/>
              <w:szCs w:val="22"/>
            </w:rPr>
            <w:t>8</w:t>
          </w:r>
        </w:p>
        <w:p w14:paraId="4D49AACB" w14:textId="229C3BCD" w:rsidR="005D3DF7" w:rsidRPr="00997782" w:rsidRDefault="005D3DF7" w:rsidP="0069369F">
          <w:pPr>
            <w:pStyle w:val="TOC1"/>
            <w:tabs>
              <w:tab w:val="right" w:leader="dot" w:pos="9540"/>
            </w:tabs>
            <w:spacing w:before="240"/>
            <w:ind w:firstLine="0"/>
            <w:rPr>
              <w:rFonts w:asciiTheme="majorHAnsi" w:eastAsiaTheme="minorEastAsia" w:hAnsiTheme="majorHAnsi" w:cstheme="minorBidi"/>
              <w:b w:val="0"/>
              <w:bCs w:val="0"/>
              <w:caps w:val="0"/>
              <w:noProof/>
              <w:color w:val="auto"/>
              <w:sz w:val="22"/>
              <w:szCs w:val="22"/>
            </w:rPr>
          </w:pPr>
          <w:r w:rsidRPr="00997782">
            <w:rPr>
              <w:rFonts w:asciiTheme="majorHAnsi" w:hAnsiTheme="majorHAnsi"/>
              <w:noProof/>
              <w:sz w:val="22"/>
              <w:szCs w:val="22"/>
            </w:rPr>
            <w:t>References</w:t>
          </w:r>
          <w:r w:rsidRPr="00997782">
            <w:rPr>
              <w:rFonts w:asciiTheme="majorHAnsi" w:hAnsiTheme="majorHAnsi"/>
              <w:b w:val="0"/>
              <w:noProof/>
              <w:sz w:val="22"/>
              <w:szCs w:val="22"/>
            </w:rPr>
            <w:tab/>
          </w:r>
          <w:r w:rsidR="00686D72" w:rsidRPr="00AA0B68">
            <w:rPr>
              <w:rFonts w:asciiTheme="majorHAnsi" w:hAnsiTheme="majorHAnsi"/>
              <w:b w:val="0"/>
              <w:noProof/>
              <w:sz w:val="22"/>
              <w:szCs w:val="22"/>
            </w:rPr>
            <w:t>2</w:t>
          </w:r>
          <w:r w:rsidR="00760EE9" w:rsidRPr="00AA0B68">
            <w:rPr>
              <w:rFonts w:asciiTheme="majorHAnsi" w:hAnsiTheme="majorHAnsi"/>
              <w:b w:val="0"/>
              <w:noProof/>
              <w:sz w:val="22"/>
              <w:szCs w:val="22"/>
            </w:rPr>
            <w:t>2</w:t>
          </w:r>
        </w:p>
        <w:p w14:paraId="1E2A1BE5" w14:textId="60B8C763" w:rsidR="005D3DF7" w:rsidRPr="00997782" w:rsidRDefault="005D3DF7" w:rsidP="0069369F">
          <w:pPr>
            <w:pStyle w:val="TOC1"/>
            <w:tabs>
              <w:tab w:val="right" w:leader="dot" w:pos="9540"/>
            </w:tabs>
            <w:spacing w:before="240"/>
            <w:ind w:firstLine="0"/>
            <w:rPr>
              <w:rFonts w:asciiTheme="majorHAnsi" w:eastAsiaTheme="minorEastAsia" w:hAnsiTheme="majorHAnsi" w:cstheme="minorBidi"/>
              <w:b w:val="0"/>
              <w:bCs w:val="0"/>
              <w:caps w:val="0"/>
              <w:noProof/>
              <w:color w:val="auto"/>
              <w:sz w:val="22"/>
              <w:szCs w:val="22"/>
            </w:rPr>
          </w:pPr>
          <w:r w:rsidRPr="00997782">
            <w:rPr>
              <w:rFonts w:asciiTheme="majorHAnsi" w:hAnsiTheme="majorHAnsi"/>
              <w:noProof/>
              <w:sz w:val="22"/>
              <w:szCs w:val="22"/>
            </w:rPr>
            <w:t>Appendices</w:t>
          </w:r>
          <w:r w:rsidRPr="00997782">
            <w:rPr>
              <w:rFonts w:asciiTheme="majorHAnsi" w:hAnsiTheme="majorHAnsi"/>
              <w:b w:val="0"/>
              <w:noProof/>
              <w:sz w:val="22"/>
              <w:szCs w:val="22"/>
            </w:rPr>
            <w:tab/>
          </w:r>
          <w:r w:rsidRPr="00AA0B68">
            <w:rPr>
              <w:rFonts w:asciiTheme="majorHAnsi" w:hAnsiTheme="majorHAnsi"/>
              <w:b w:val="0"/>
              <w:noProof/>
              <w:sz w:val="22"/>
              <w:szCs w:val="22"/>
            </w:rPr>
            <w:t>2</w:t>
          </w:r>
          <w:r w:rsidR="00760EE9" w:rsidRPr="00AA0B68">
            <w:rPr>
              <w:rFonts w:asciiTheme="majorHAnsi" w:hAnsiTheme="majorHAnsi"/>
              <w:b w:val="0"/>
              <w:noProof/>
              <w:sz w:val="22"/>
              <w:szCs w:val="22"/>
            </w:rPr>
            <w:t>3</w:t>
          </w:r>
        </w:p>
        <w:p w14:paraId="6EC0AC37" w14:textId="5612FF07" w:rsidR="00853C42" w:rsidRPr="00997782" w:rsidRDefault="005D3DF7" w:rsidP="00AA0B68">
          <w:pPr>
            <w:pStyle w:val="TOC2"/>
          </w:pPr>
          <w:r w:rsidRPr="00997782">
            <w:t xml:space="preserve">Appendix A: Granting &amp; Sustaining the Re-Envisioned Faculty Appointments –Hiring New </w:t>
          </w:r>
          <w:r w:rsidR="00984260" w:rsidRPr="00997782">
            <w:t xml:space="preserve">  </w:t>
          </w:r>
          <w:r w:rsidRPr="00997782">
            <w:t xml:space="preserve">Teaching Faculty, Converting Current Faculty &amp; </w:t>
          </w:r>
          <w:r w:rsidR="00984260" w:rsidRPr="00997782">
            <w:t>Evaluating All Teaching Faculty</w:t>
          </w:r>
          <w:r w:rsidR="0069369F" w:rsidRPr="00997782">
            <w:tab/>
            <w:t>2</w:t>
          </w:r>
          <w:r w:rsidR="00760EE9" w:rsidRPr="00997782">
            <w:t>4</w:t>
          </w:r>
        </w:p>
        <w:p w14:paraId="0542B116" w14:textId="4C6D7725" w:rsidR="00853C42" w:rsidRPr="00997782" w:rsidRDefault="005D3DF7" w:rsidP="00AA0B68">
          <w:pPr>
            <w:pStyle w:val="TOC2"/>
          </w:pPr>
          <w:r w:rsidRPr="00997782">
            <w:t>Appendix B: Principles and Supporting Evidence for This Proposal</w:t>
          </w:r>
          <w:r w:rsidRPr="00997782">
            <w:tab/>
          </w:r>
          <w:r w:rsidR="00760EE9" w:rsidRPr="00997782">
            <w:t>30</w:t>
          </w:r>
        </w:p>
        <w:p w14:paraId="0957787C" w14:textId="05A7A4F4" w:rsidR="005D3DF7" w:rsidRPr="00997782" w:rsidRDefault="005D3DF7" w:rsidP="00AA0B68">
          <w:pPr>
            <w:pStyle w:val="TOC2"/>
            <w:rPr>
              <w:rFonts w:eastAsiaTheme="minorEastAsia" w:cstheme="minorBidi"/>
              <w:color w:val="auto"/>
            </w:rPr>
          </w:pPr>
          <w:r w:rsidRPr="00997782">
            <w:t xml:space="preserve">Appendix C: CoNTTF’s 2013 Proposals &amp; Recommendations in response to </w:t>
          </w:r>
          <w:r w:rsidR="00043068" w:rsidRPr="00997782">
            <w:t xml:space="preserve">                                      </w:t>
          </w:r>
          <w:r w:rsidRPr="00997782">
            <w:t>President Frank’s 2013 Fall Address Charge</w:t>
          </w:r>
          <w:r w:rsidRPr="00997782">
            <w:tab/>
          </w:r>
          <w:r w:rsidR="00EB4794" w:rsidRPr="00997782">
            <w:t>3</w:t>
          </w:r>
          <w:r w:rsidR="00760EE9" w:rsidRPr="00997782">
            <w:t>7</w:t>
          </w:r>
        </w:p>
        <w:p w14:paraId="7BB5D727" w14:textId="1F2BF499" w:rsidR="005D3DF7" w:rsidRPr="00997782" w:rsidRDefault="005D3DF7" w:rsidP="00AA0B68">
          <w:pPr>
            <w:pStyle w:val="TOC2"/>
            <w:rPr>
              <w:rFonts w:eastAsiaTheme="minorEastAsia" w:cstheme="minorBidi"/>
              <w:color w:val="auto"/>
            </w:rPr>
          </w:pPr>
          <w:r w:rsidRPr="00997782">
            <w:t xml:space="preserve">Appendix D: Executive Summary Report of the Survey of NTTF, </w:t>
          </w:r>
          <w:r w:rsidR="00043068" w:rsidRPr="00997782">
            <w:t xml:space="preserve">                                                                </w:t>
          </w:r>
          <w:r w:rsidRPr="00997782">
            <w:t>Colorado State University, 2014-15</w:t>
          </w:r>
          <w:r w:rsidRPr="00997782">
            <w:tab/>
          </w:r>
          <w:r w:rsidR="00760EE9" w:rsidRPr="00997782">
            <w:t>42</w:t>
          </w:r>
        </w:p>
        <w:p w14:paraId="0A0BF685" w14:textId="7EBE1EAA" w:rsidR="005D3DF7" w:rsidRPr="00997782" w:rsidRDefault="005D3DF7" w:rsidP="00AA0B68">
          <w:pPr>
            <w:pStyle w:val="TOC2"/>
            <w:rPr>
              <w:rFonts w:eastAsiaTheme="minorEastAsia" w:cstheme="minorBidi"/>
              <w:color w:val="auto"/>
            </w:rPr>
          </w:pPr>
          <w:r w:rsidRPr="00997782">
            <w:t>Appendix E: 2006 Provost Frank’s 6 R's</w:t>
          </w:r>
          <w:r w:rsidR="007A4BD9" w:rsidRPr="00997782">
            <w:t>, 2006</w:t>
          </w:r>
          <w:r w:rsidRPr="00997782">
            <w:tab/>
          </w:r>
          <w:r w:rsidR="009744C2" w:rsidRPr="00997782">
            <w:t>4</w:t>
          </w:r>
          <w:r w:rsidR="00760EE9" w:rsidRPr="00997782">
            <w:t>8</w:t>
          </w:r>
        </w:p>
        <w:p w14:paraId="07FD0FD5" w14:textId="01D90CB4" w:rsidR="005D3DF7" w:rsidRPr="00997782" w:rsidRDefault="005D3DF7" w:rsidP="00AA0B68">
          <w:pPr>
            <w:pStyle w:val="TOC2"/>
            <w:rPr>
              <w:rFonts w:eastAsiaTheme="minorEastAsia" w:cstheme="minorBidi"/>
              <w:color w:val="auto"/>
            </w:rPr>
          </w:pPr>
          <w:r w:rsidRPr="00997782">
            <w:t xml:space="preserve">Appendix F: Position Statement from the CCCC on Working Conditions for </w:t>
          </w:r>
          <w:r w:rsidR="00043068" w:rsidRPr="00997782">
            <w:t xml:space="preserve">                                               </w:t>
          </w:r>
          <w:r w:rsidRPr="00997782">
            <w:t>Non-Tenure-Track Faculty</w:t>
          </w:r>
          <w:r w:rsidRPr="00997782">
            <w:tab/>
          </w:r>
          <w:r w:rsidR="00760EE9" w:rsidRPr="00997782">
            <w:t>50</w:t>
          </w:r>
        </w:p>
        <w:p w14:paraId="125504BF" w14:textId="3A0601FC" w:rsidR="005D3DF7" w:rsidRPr="00997782" w:rsidRDefault="005D3DF7" w:rsidP="00AA0B68">
          <w:pPr>
            <w:pStyle w:val="TOC2"/>
          </w:pPr>
          <w:r w:rsidRPr="00997782">
            <w:t xml:space="preserve">Appendix G: University of Colorado at Boulder, The Boulder Faculty Assembly Resolution </w:t>
          </w:r>
          <w:r w:rsidR="00853C42" w:rsidRPr="00997782">
            <w:t xml:space="preserve">           </w:t>
          </w:r>
          <w:r w:rsidRPr="00997782">
            <w:t>for Instructor Tenure - 2009</w:t>
          </w:r>
          <w:r w:rsidRPr="00997782">
            <w:tab/>
          </w:r>
          <w:r w:rsidR="005D0811" w:rsidRPr="00997782">
            <w:t>5</w:t>
          </w:r>
          <w:r w:rsidR="00E827B2" w:rsidRPr="00997782">
            <w:t>4</w:t>
          </w:r>
        </w:p>
        <w:p w14:paraId="62A3C6DC" w14:textId="77777777" w:rsidR="005D3DF7" w:rsidRPr="0030574E" w:rsidRDefault="005D3DF7" w:rsidP="005D3DF7">
          <w:pPr>
            <w:rPr>
              <w:rFonts w:asciiTheme="majorHAnsi" w:hAnsiTheme="majorHAnsi"/>
              <w:noProof/>
            </w:rPr>
          </w:pPr>
        </w:p>
        <w:p w14:paraId="4010DDF5" w14:textId="77777777" w:rsidR="005D3DF7" w:rsidRPr="0030574E" w:rsidRDefault="005D3DF7" w:rsidP="005D3DF7">
          <w:pPr>
            <w:ind w:firstLine="0"/>
            <w:rPr>
              <w:rFonts w:asciiTheme="majorHAnsi" w:hAnsiTheme="majorHAnsi"/>
              <w:noProof/>
            </w:rPr>
          </w:pPr>
        </w:p>
        <w:p w14:paraId="621FD964" w14:textId="77777777" w:rsidR="005D3DF7" w:rsidRPr="00EE35F4" w:rsidRDefault="005D3DF7" w:rsidP="005D3DF7">
          <w:pPr>
            <w:tabs>
              <w:tab w:val="right" w:leader="dot" w:pos="10620"/>
            </w:tabs>
            <w:spacing w:before="240" w:after="120"/>
            <w:rPr>
              <w:rFonts w:asciiTheme="majorHAnsi" w:hAnsiTheme="majorHAnsi"/>
              <w:b/>
              <w:bCs/>
              <w:caps/>
              <w:szCs w:val="20"/>
            </w:rPr>
            <w:sectPr w:rsidR="005D3DF7" w:rsidRPr="00EE35F4" w:rsidSect="00B848BA">
              <w:pgSz w:w="12240" w:h="15840"/>
              <w:pgMar w:top="720" w:right="1008" w:bottom="720" w:left="1008" w:header="720" w:footer="720" w:gutter="0"/>
              <w:pgNumType w:fmt="lowerRoman" w:start="1"/>
              <w:cols w:space="720" w:equalWidth="0">
                <w:col w:w="9504"/>
              </w:cols>
              <w:titlePg/>
            </w:sectPr>
          </w:pPr>
          <w:r w:rsidRPr="0030574E">
            <w:rPr>
              <w:rFonts w:asciiTheme="majorHAnsi" w:hAnsiTheme="majorHAnsi"/>
              <w:bCs/>
              <w:caps/>
            </w:rPr>
            <w:fldChar w:fldCharType="end"/>
          </w:r>
        </w:p>
        <w:p w14:paraId="7AE3C5EA" w14:textId="77777777" w:rsidR="005D3DF7" w:rsidRPr="00EE35F4" w:rsidRDefault="000209F7" w:rsidP="005D3DF7">
          <w:pPr>
            <w:spacing w:before="240" w:after="120"/>
            <w:ind w:firstLine="0"/>
            <w:rPr>
              <w:rFonts w:asciiTheme="majorHAnsi" w:hAnsiTheme="majorHAnsi"/>
              <w:b/>
              <w:bCs/>
              <w:noProof/>
              <w:sz w:val="24"/>
            </w:rPr>
          </w:pPr>
        </w:p>
      </w:sdtContent>
    </w:sdt>
    <w:bookmarkStart w:id="1" w:name="h.1fob9te" w:colFirst="0" w:colLast="0" w:displacedByCustomXml="prev"/>
    <w:bookmarkEnd w:id="1" w:displacedByCustomXml="prev"/>
    <w:bookmarkStart w:id="2" w:name="_Toc452993093" w:displacedByCustomXml="prev"/>
    <w:p w14:paraId="0F2C9420" w14:textId="77777777" w:rsidR="005D3DF7" w:rsidRPr="00AC731B" w:rsidRDefault="005D3DF7" w:rsidP="005D3DF7">
      <w:pPr>
        <w:spacing w:before="240" w:after="120"/>
        <w:ind w:firstLine="0"/>
        <w:rPr>
          <w:rFonts w:asciiTheme="majorHAnsi" w:hAnsiTheme="majorHAnsi"/>
          <w:b/>
          <w:bCs/>
          <w:noProof/>
          <w:color w:val="003300"/>
          <w:sz w:val="32"/>
          <w:szCs w:val="28"/>
        </w:rPr>
      </w:pPr>
      <w:r w:rsidRPr="00AC731B">
        <w:rPr>
          <w:rFonts w:asciiTheme="majorHAnsi" w:hAnsiTheme="majorHAnsi"/>
          <w:b/>
          <w:color w:val="003300"/>
          <w:sz w:val="32"/>
          <w:szCs w:val="28"/>
        </w:rPr>
        <w:t>Executive Summary</w:t>
      </w:r>
      <w:bookmarkEnd w:id="2"/>
    </w:p>
    <w:p w14:paraId="3C3B5BAE" w14:textId="318CC174" w:rsidR="005D3DF7" w:rsidRPr="00EE35F4" w:rsidRDefault="00883FAC" w:rsidP="005D3DF7">
      <w:pPr>
        <w:spacing w:before="240" w:after="120"/>
        <w:ind w:firstLine="0"/>
        <w:rPr>
          <w:rFonts w:asciiTheme="majorHAnsi" w:hAnsiTheme="majorHAnsi"/>
        </w:rPr>
      </w:pPr>
      <w:r w:rsidRPr="00EE35F4">
        <w:rPr>
          <w:rFonts w:asciiTheme="majorHAnsi" w:hAnsiTheme="majorHAnsi"/>
        </w:rPr>
        <w:t xml:space="preserve">The Committee on Non </w:t>
      </w:r>
      <w:r w:rsidR="005D3DF7" w:rsidRPr="00EE35F4">
        <w:rPr>
          <w:rFonts w:asciiTheme="majorHAnsi" w:hAnsiTheme="majorHAnsi"/>
        </w:rPr>
        <w:t xml:space="preserve">Tenure-Track Faculty (CoNTTF) has </w:t>
      </w:r>
      <w:r w:rsidRPr="00EE35F4">
        <w:rPr>
          <w:rFonts w:asciiTheme="majorHAnsi" w:hAnsiTheme="majorHAnsi"/>
        </w:rPr>
        <w:t xml:space="preserve">re-envisioned the future of </w:t>
      </w:r>
      <w:r w:rsidR="00905B2C" w:rsidRPr="00EE35F4">
        <w:rPr>
          <w:rFonts w:asciiTheme="majorHAnsi" w:hAnsiTheme="majorHAnsi"/>
        </w:rPr>
        <w:t>non-tenure</w:t>
      </w:r>
      <w:r w:rsidR="005D3DF7" w:rsidRPr="00EE35F4">
        <w:rPr>
          <w:rFonts w:asciiTheme="majorHAnsi" w:hAnsiTheme="majorHAnsi"/>
        </w:rPr>
        <w:t>-track faculty (</w:t>
      </w:r>
      <w:r w:rsidRPr="00EE35F4">
        <w:rPr>
          <w:rFonts w:asciiTheme="majorHAnsi" w:hAnsiTheme="majorHAnsi"/>
        </w:rPr>
        <w:t xml:space="preserve">henceforth </w:t>
      </w:r>
      <w:r w:rsidR="005D3DF7" w:rsidRPr="00EE35F4">
        <w:rPr>
          <w:rFonts w:asciiTheme="majorHAnsi" w:hAnsiTheme="majorHAnsi"/>
        </w:rPr>
        <w:t xml:space="preserve">NTTF) at Colorado State University (CSU). In this document, we present a proposal to revise appointment types of faculty that are currently off the tenure track. The proposal is informed by more than ten years of extensive review and research of faculty models across the nation that best serve the modern </w:t>
      </w:r>
      <w:r w:rsidR="00D40764" w:rsidRPr="00EE35F4">
        <w:rPr>
          <w:rFonts w:asciiTheme="majorHAnsi" w:hAnsiTheme="majorHAnsi"/>
        </w:rPr>
        <w:t>era</w:t>
      </w:r>
      <w:r w:rsidR="005D3DF7" w:rsidRPr="00EE35F4">
        <w:rPr>
          <w:rFonts w:asciiTheme="majorHAnsi" w:hAnsiTheme="majorHAnsi"/>
        </w:rPr>
        <w:t xml:space="preserve"> of higher education in which scholarship is defined and practiced through </w:t>
      </w:r>
      <w:r w:rsidR="00D40764" w:rsidRPr="00EE35F4">
        <w:rPr>
          <w:rFonts w:asciiTheme="majorHAnsi" w:hAnsiTheme="majorHAnsi"/>
        </w:rPr>
        <w:t xml:space="preserve">a variety of modes of </w:t>
      </w:r>
      <w:r w:rsidR="005D3DF7" w:rsidRPr="00EE35F4">
        <w:rPr>
          <w:rFonts w:asciiTheme="majorHAnsi" w:hAnsiTheme="majorHAnsi"/>
        </w:rPr>
        <w:t xml:space="preserve">research, teaching, </w:t>
      </w:r>
      <w:r w:rsidR="00D40764" w:rsidRPr="00EE35F4">
        <w:rPr>
          <w:rFonts w:asciiTheme="majorHAnsi" w:hAnsiTheme="majorHAnsi"/>
        </w:rPr>
        <w:t xml:space="preserve">and service that apply to varied </w:t>
      </w:r>
      <w:r w:rsidR="005D3DF7" w:rsidRPr="00EE35F4">
        <w:rPr>
          <w:rFonts w:asciiTheme="majorHAnsi" w:hAnsiTheme="majorHAnsi"/>
        </w:rPr>
        <w:t xml:space="preserve">needs. </w:t>
      </w:r>
    </w:p>
    <w:p w14:paraId="4C38E3B3" w14:textId="278B5C9F" w:rsidR="005D3DF7" w:rsidRPr="00EE35F4" w:rsidRDefault="005D3DF7" w:rsidP="005D3DF7">
      <w:pPr>
        <w:spacing w:before="240" w:after="120"/>
        <w:ind w:firstLine="0"/>
        <w:rPr>
          <w:rFonts w:asciiTheme="majorHAnsi" w:hAnsiTheme="majorHAnsi"/>
        </w:rPr>
      </w:pPr>
      <w:r w:rsidRPr="00EE35F4">
        <w:rPr>
          <w:rFonts w:asciiTheme="majorHAnsi" w:hAnsiTheme="majorHAnsi"/>
        </w:rPr>
        <w:t>In the past several decades CSU, like other universities, has increasingly relied on faculty off the tenure track to fulfill educational, research, and extension components of the mission. This strategy has been successful to the extent that it has helped to sustain high levels of public satisfaction with the overall mission by creating specialty components of the faculty:  Som</w:t>
      </w:r>
      <w:r w:rsidR="00B81A2D" w:rsidRPr="00EE35F4">
        <w:rPr>
          <w:rFonts w:asciiTheme="majorHAnsi" w:hAnsiTheme="majorHAnsi"/>
        </w:rPr>
        <w:t>e f</w:t>
      </w:r>
      <w:r w:rsidRPr="00EE35F4">
        <w:rPr>
          <w:rFonts w:asciiTheme="majorHAnsi" w:hAnsiTheme="majorHAnsi"/>
        </w:rPr>
        <w:t xml:space="preserve">aculty have been charged with delivering educational content on and off campus and in the classroom, the laboratory, and the clinic; some have executed the </w:t>
      </w:r>
      <w:r w:rsidR="009E1B60" w:rsidRPr="00EE35F4">
        <w:rPr>
          <w:rFonts w:asciiTheme="majorHAnsi" w:hAnsiTheme="majorHAnsi"/>
        </w:rPr>
        <w:t>work</w:t>
      </w:r>
      <w:r w:rsidRPr="00EE35F4">
        <w:rPr>
          <w:rFonts w:asciiTheme="majorHAnsi" w:hAnsiTheme="majorHAnsi"/>
        </w:rPr>
        <w:t xml:space="preserve"> of research programs; some have engaged Coloradoans with extension efforts. </w:t>
      </w:r>
      <w:r w:rsidR="00D40764" w:rsidRPr="00EE35F4">
        <w:rPr>
          <w:rFonts w:asciiTheme="majorHAnsi" w:hAnsiTheme="majorHAnsi"/>
        </w:rPr>
        <w:t xml:space="preserve">This is just a sample of faculty involvements and applications. </w:t>
      </w:r>
      <w:r w:rsidRPr="00EE35F4">
        <w:rPr>
          <w:rFonts w:asciiTheme="majorHAnsi" w:hAnsiTheme="majorHAnsi"/>
        </w:rPr>
        <w:t>Faculty off the tenure track have been part of all segments of these efforts and have helped to buffer the effects of fluctuating enrollments and the constraints associated with</w:t>
      </w:r>
      <w:r w:rsidR="00D40764" w:rsidRPr="00EE35F4">
        <w:rPr>
          <w:rFonts w:asciiTheme="majorHAnsi" w:hAnsiTheme="majorHAnsi"/>
        </w:rPr>
        <w:t xml:space="preserve"> funding tenure</w:t>
      </w:r>
      <w:r w:rsidRPr="00EE35F4">
        <w:rPr>
          <w:rFonts w:asciiTheme="majorHAnsi" w:hAnsiTheme="majorHAnsi"/>
        </w:rPr>
        <w:t xml:space="preserve"> lines. </w:t>
      </w:r>
      <w:r w:rsidR="00D40764" w:rsidRPr="00EE35F4">
        <w:rPr>
          <w:rFonts w:asciiTheme="majorHAnsi" w:hAnsiTheme="majorHAnsi"/>
        </w:rPr>
        <w:t>The</w:t>
      </w:r>
      <w:r w:rsidRPr="00EE35F4">
        <w:rPr>
          <w:rFonts w:asciiTheme="majorHAnsi" w:hAnsiTheme="majorHAnsi"/>
        </w:rPr>
        <w:t xml:space="preserve"> trend</w:t>
      </w:r>
      <w:r w:rsidR="00D40764" w:rsidRPr="00EE35F4">
        <w:rPr>
          <w:rFonts w:asciiTheme="majorHAnsi" w:hAnsiTheme="majorHAnsi"/>
        </w:rPr>
        <w:t xml:space="preserve"> toward hiring off the tenure-track</w:t>
      </w:r>
      <w:r w:rsidRPr="00EE35F4">
        <w:rPr>
          <w:rFonts w:asciiTheme="majorHAnsi" w:hAnsiTheme="majorHAnsi"/>
        </w:rPr>
        <w:t xml:space="preserve"> has also continued due to the significant shift in the public's understanding of higher education as a shared public good; a reduced appetite for state funding of higher education has served as a powerful driver for</w:t>
      </w:r>
      <w:r w:rsidR="009E1B60" w:rsidRPr="00EE35F4">
        <w:rPr>
          <w:rFonts w:asciiTheme="majorHAnsi" w:hAnsiTheme="majorHAnsi"/>
        </w:rPr>
        <w:t xml:space="preserve"> </w:t>
      </w:r>
      <w:r w:rsidR="00D40764" w:rsidRPr="00EE35F4">
        <w:rPr>
          <w:rFonts w:asciiTheme="majorHAnsi" w:hAnsiTheme="majorHAnsi"/>
        </w:rPr>
        <w:t>cutting costs and generating revenue. P</w:t>
      </w:r>
      <w:r w:rsidRPr="00EE35F4">
        <w:rPr>
          <w:rFonts w:asciiTheme="majorHAnsi" w:hAnsiTheme="majorHAnsi"/>
        </w:rPr>
        <w:t xml:space="preserve">ersistent support for </w:t>
      </w:r>
      <w:r w:rsidR="009E1B60" w:rsidRPr="00EE35F4">
        <w:rPr>
          <w:rFonts w:asciiTheme="majorHAnsi" w:hAnsiTheme="majorHAnsi"/>
        </w:rPr>
        <w:t>contingent</w:t>
      </w:r>
      <w:r w:rsidRPr="00EE35F4">
        <w:rPr>
          <w:rFonts w:asciiTheme="majorHAnsi" w:hAnsiTheme="majorHAnsi"/>
        </w:rPr>
        <w:t xml:space="preserve"> hiring suggests that budgetary discretion </w:t>
      </w:r>
      <w:r w:rsidR="009E1B60" w:rsidRPr="00EE35F4">
        <w:rPr>
          <w:rFonts w:asciiTheme="majorHAnsi" w:hAnsiTheme="majorHAnsi"/>
        </w:rPr>
        <w:t>and independence from state</w:t>
      </w:r>
      <w:r w:rsidRPr="00EE35F4">
        <w:rPr>
          <w:rFonts w:asciiTheme="majorHAnsi" w:hAnsiTheme="majorHAnsi"/>
        </w:rPr>
        <w:t xml:space="preserve"> funding</w:t>
      </w:r>
      <w:r w:rsidR="009E1B60" w:rsidRPr="00EE35F4">
        <w:rPr>
          <w:rFonts w:asciiTheme="majorHAnsi" w:hAnsiTheme="majorHAnsi"/>
        </w:rPr>
        <w:t xml:space="preserve"> are</w:t>
      </w:r>
      <w:r w:rsidRPr="00EE35F4">
        <w:rPr>
          <w:rFonts w:asciiTheme="majorHAnsi" w:hAnsiTheme="majorHAnsi"/>
        </w:rPr>
        <w:t xml:space="preserve"> now the norm. Additionally, the highly competitive market for research funding has offered an incentive to those on the tenure-track to support</w:t>
      </w:r>
      <w:r w:rsidR="00D40764" w:rsidRPr="00EE35F4">
        <w:rPr>
          <w:rFonts w:asciiTheme="majorHAnsi" w:hAnsiTheme="majorHAnsi"/>
        </w:rPr>
        <w:t xml:space="preserve"> this</w:t>
      </w:r>
      <w:r w:rsidRPr="00EE35F4">
        <w:rPr>
          <w:rFonts w:asciiTheme="majorHAnsi" w:hAnsiTheme="majorHAnsi"/>
        </w:rPr>
        <w:t xml:space="preserve"> reliance on </w:t>
      </w:r>
      <w:r w:rsidR="00D40764" w:rsidRPr="00EE35F4">
        <w:rPr>
          <w:rFonts w:asciiTheme="majorHAnsi" w:hAnsiTheme="majorHAnsi"/>
        </w:rPr>
        <w:t>NTTF, especially in regard to the</w:t>
      </w:r>
      <w:r w:rsidRPr="00EE35F4">
        <w:rPr>
          <w:rFonts w:asciiTheme="majorHAnsi" w:hAnsiTheme="majorHAnsi"/>
        </w:rPr>
        <w:t xml:space="preserve"> teach</w:t>
      </w:r>
      <w:r w:rsidR="009E1B60" w:rsidRPr="00EE35F4">
        <w:rPr>
          <w:rFonts w:asciiTheme="majorHAnsi" w:hAnsiTheme="majorHAnsi"/>
        </w:rPr>
        <w:t>ing of</w:t>
      </w:r>
      <w:r w:rsidRPr="00EE35F4">
        <w:rPr>
          <w:rFonts w:asciiTheme="majorHAnsi" w:hAnsiTheme="majorHAnsi"/>
        </w:rPr>
        <w:t xml:space="preserve"> undergrad</w:t>
      </w:r>
      <w:r w:rsidR="00D40764" w:rsidRPr="00EE35F4">
        <w:rPr>
          <w:rFonts w:asciiTheme="majorHAnsi" w:hAnsiTheme="majorHAnsi"/>
        </w:rPr>
        <w:t>uate courses; d</w:t>
      </w:r>
      <w:r w:rsidRPr="00EE35F4">
        <w:rPr>
          <w:rFonts w:asciiTheme="majorHAnsi" w:hAnsiTheme="majorHAnsi"/>
        </w:rPr>
        <w:t xml:space="preserve">oing so </w:t>
      </w:r>
      <w:r w:rsidR="009E1B60" w:rsidRPr="00EE35F4">
        <w:rPr>
          <w:rFonts w:asciiTheme="majorHAnsi" w:hAnsiTheme="majorHAnsi"/>
        </w:rPr>
        <w:t>funds</w:t>
      </w:r>
      <w:r w:rsidRPr="00EE35F4">
        <w:rPr>
          <w:rFonts w:asciiTheme="majorHAnsi" w:hAnsiTheme="majorHAnsi"/>
        </w:rPr>
        <w:t xml:space="preserve"> release time from</w:t>
      </w:r>
      <w:r w:rsidR="00D40764" w:rsidRPr="00EE35F4">
        <w:rPr>
          <w:rFonts w:asciiTheme="majorHAnsi" w:hAnsiTheme="majorHAnsi"/>
        </w:rPr>
        <w:t xml:space="preserve"> tenure-line</w:t>
      </w:r>
      <w:r w:rsidRPr="00EE35F4">
        <w:rPr>
          <w:rFonts w:asciiTheme="majorHAnsi" w:hAnsiTheme="majorHAnsi"/>
        </w:rPr>
        <w:t xml:space="preserve"> teaching and</w:t>
      </w:r>
      <w:r w:rsidR="009E1B60" w:rsidRPr="00EE35F4">
        <w:rPr>
          <w:rFonts w:asciiTheme="majorHAnsi" w:hAnsiTheme="majorHAnsi"/>
        </w:rPr>
        <w:t xml:space="preserve"> enables</w:t>
      </w:r>
      <w:r w:rsidRPr="00EE35F4">
        <w:rPr>
          <w:rFonts w:asciiTheme="majorHAnsi" w:hAnsiTheme="majorHAnsi"/>
        </w:rPr>
        <w:t xml:space="preserve"> tenure-line </w:t>
      </w:r>
      <w:r w:rsidR="009E1B60" w:rsidRPr="00EE35F4">
        <w:rPr>
          <w:rFonts w:asciiTheme="majorHAnsi" w:hAnsiTheme="majorHAnsi"/>
        </w:rPr>
        <w:t>faculty</w:t>
      </w:r>
      <w:r w:rsidRPr="00EE35F4">
        <w:rPr>
          <w:rFonts w:asciiTheme="majorHAnsi" w:hAnsiTheme="majorHAnsi"/>
        </w:rPr>
        <w:t xml:space="preserve"> to concentrate on external</w:t>
      </w:r>
      <w:r w:rsidR="009E1B60" w:rsidRPr="00EE35F4">
        <w:rPr>
          <w:rFonts w:asciiTheme="majorHAnsi" w:hAnsiTheme="majorHAnsi"/>
        </w:rPr>
        <w:t>ly</w:t>
      </w:r>
      <w:r w:rsidRPr="00EE35F4">
        <w:rPr>
          <w:rFonts w:asciiTheme="majorHAnsi" w:hAnsiTheme="majorHAnsi"/>
        </w:rPr>
        <w:t xml:space="preserve"> </w:t>
      </w:r>
      <w:r w:rsidR="009E1B60" w:rsidRPr="00EE35F4">
        <w:rPr>
          <w:rFonts w:asciiTheme="majorHAnsi" w:hAnsiTheme="majorHAnsi"/>
        </w:rPr>
        <w:t>funded research.</w:t>
      </w:r>
    </w:p>
    <w:p w14:paraId="3D841A6D"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Although successful in maintaining and even advancing the mission of the university, the strategy of contingent hiring in the higher education setting has not been without problems. </w:t>
      </w:r>
      <w:r w:rsidR="00043C56" w:rsidRPr="00EE35F4">
        <w:rPr>
          <w:rFonts w:asciiTheme="majorHAnsi" w:hAnsiTheme="majorHAnsi"/>
        </w:rPr>
        <w:t xml:space="preserve">Research </w:t>
      </w:r>
      <w:r w:rsidR="00D40764" w:rsidRPr="00EE35F4">
        <w:rPr>
          <w:rFonts w:asciiTheme="majorHAnsi" w:hAnsiTheme="majorHAnsi"/>
        </w:rPr>
        <w:t>has</w:t>
      </w:r>
      <w:r w:rsidRPr="00EE35F4">
        <w:rPr>
          <w:rFonts w:asciiTheme="majorHAnsi" w:hAnsiTheme="majorHAnsi"/>
        </w:rPr>
        <w:t xml:space="preserve"> </w:t>
      </w:r>
      <w:r w:rsidR="00043C56" w:rsidRPr="00EE35F4">
        <w:rPr>
          <w:rFonts w:asciiTheme="majorHAnsi" w:hAnsiTheme="majorHAnsi"/>
        </w:rPr>
        <w:t xml:space="preserve">documented the </w:t>
      </w:r>
      <w:r w:rsidRPr="00EE35F4">
        <w:rPr>
          <w:rFonts w:asciiTheme="majorHAnsi" w:hAnsiTheme="majorHAnsi"/>
        </w:rPr>
        <w:t xml:space="preserve">challenging working conditions </w:t>
      </w:r>
      <w:r w:rsidR="00043C56" w:rsidRPr="00EE35F4">
        <w:rPr>
          <w:rFonts w:asciiTheme="majorHAnsi" w:hAnsiTheme="majorHAnsi"/>
        </w:rPr>
        <w:t>of</w:t>
      </w:r>
      <w:r w:rsidRPr="00EE35F4">
        <w:rPr>
          <w:rFonts w:asciiTheme="majorHAnsi" w:hAnsiTheme="majorHAnsi"/>
        </w:rPr>
        <w:t xml:space="preserve"> </w:t>
      </w:r>
      <w:r w:rsidR="00043C56" w:rsidRPr="00EE35F4">
        <w:rPr>
          <w:rFonts w:asciiTheme="majorHAnsi" w:hAnsiTheme="majorHAnsi"/>
        </w:rPr>
        <w:t xml:space="preserve">most </w:t>
      </w:r>
      <w:r w:rsidR="00D40764" w:rsidRPr="00EE35F4">
        <w:rPr>
          <w:rFonts w:asciiTheme="majorHAnsi" w:hAnsiTheme="majorHAnsi"/>
        </w:rPr>
        <w:t>NTTF even</w:t>
      </w:r>
      <w:r w:rsidR="00043C56" w:rsidRPr="00EE35F4">
        <w:rPr>
          <w:rFonts w:asciiTheme="majorHAnsi" w:hAnsiTheme="majorHAnsi"/>
        </w:rPr>
        <w:t xml:space="preserve"> as </w:t>
      </w:r>
      <w:r w:rsidRPr="00EE35F4">
        <w:rPr>
          <w:rFonts w:asciiTheme="majorHAnsi" w:hAnsiTheme="majorHAnsi"/>
        </w:rPr>
        <w:t xml:space="preserve">concerns </w:t>
      </w:r>
      <w:r w:rsidR="00043C56" w:rsidRPr="00EE35F4">
        <w:rPr>
          <w:rFonts w:asciiTheme="majorHAnsi" w:hAnsiTheme="majorHAnsi"/>
        </w:rPr>
        <w:t xml:space="preserve">mount </w:t>
      </w:r>
      <w:r w:rsidRPr="00EE35F4">
        <w:rPr>
          <w:rFonts w:asciiTheme="majorHAnsi" w:hAnsiTheme="majorHAnsi"/>
        </w:rPr>
        <w:t>about student access to an increasingly mobile and impermanent faculty</w:t>
      </w:r>
      <w:r w:rsidR="00043C56" w:rsidRPr="00EE35F4">
        <w:rPr>
          <w:rFonts w:asciiTheme="majorHAnsi" w:hAnsiTheme="majorHAnsi"/>
        </w:rPr>
        <w:t>. There is</w:t>
      </w:r>
      <w:r w:rsidRPr="00EE35F4">
        <w:rPr>
          <w:rFonts w:asciiTheme="majorHAnsi" w:hAnsiTheme="majorHAnsi"/>
        </w:rPr>
        <w:t xml:space="preserve"> mounting </w:t>
      </w:r>
      <w:r w:rsidR="00D40764" w:rsidRPr="00EE35F4">
        <w:rPr>
          <w:rFonts w:asciiTheme="majorHAnsi" w:hAnsiTheme="majorHAnsi"/>
        </w:rPr>
        <w:t xml:space="preserve">public </w:t>
      </w:r>
      <w:r w:rsidRPr="00EE35F4">
        <w:rPr>
          <w:rFonts w:asciiTheme="majorHAnsi" w:hAnsiTheme="majorHAnsi"/>
        </w:rPr>
        <w:t xml:space="preserve">intolerance for economic injustice, </w:t>
      </w:r>
      <w:r w:rsidR="00043C56" w:rsidRPr="00EE35F4">
        <w:rPr>
          <w:rFonts w:asciiTheme="majorHAnsi" w:hAnsiTheme="majorHAnsi"/>
        </w:rPr>
        <w:t xml:space="preserve">and a growing interest </w:t>
      </w:r>
      <w:r w:rsidR="00D40764" w:rsidRPr="00EE35F4">
        <w:rPr>
          <w:rFonts w:asciiTheme="majorHAnsi" w:hAnsiTheme="majorHAnsi"/>
        </w:rPr>
        <w:t xml:space="preserve">on campuses </w:t>
      </w:r>
      <w:r w:rsidR="00043C56" w:rsidRPr="00EE35F4">
        <w:rPr>
          <w:rFonts w:asciiTheme="majorHAnsi" w:hAnsiTheme="majorHAnsi"/>
        </w:rPr>
        <w:t xml:space="preserve">in salary </w:t>
      </w:r>
      <w:r w:rsidRPr="00EE35F4">
        <w:rPr>
          <w:rFonts w:asciiTheme="majorHAnsi" w:hAnsiTheme="majorHAnsi"/>
        </w:rPr>
        <w:t xml:space="preserve">equity, </w:t>
      </w:r>
      <w:r w:rsidR="00043C56" w:rsidRPr="00EE35F4">
        <w:rPr>
          <w:rFonts w:asciiTheme="majorHAnsi" w:hAnsiTheme="majorHAnsi"/>
        </w:rPr>
        <w:t>even as the</w:t>
      </w:r>
      <w:r w:rsidRPr="00EE35F4">
        <w:rPr>
          <w:rFonts w:asciiTheme="majorHAnsi" w:hAnsiTheme="majorHAnsi"/>
        </w:rPr>
        <w:t xml:space="preserve"> gendered nature of contingent employment </w:t>
      </w:r>
      <w:r w:rsidR="00043C56" w:rsidRPr="00EE35F4">
        <w:rPr>
          <w:rFonts w:asciiTheme="majorHAnsi" w:hAnsiTheme="majorHAnsi"/>
        </w:rPr>
        <w:t xml:space="preserve">becomes ever clearer. There has also been </w:t>
      </w:r>
      <w:r w:rsidR="00D40764" w:rsidRPr="00EE35F4">
        <w:rPr>
          <w:rFonts w:asciiTheme="majorHAnsi" w:hAnsiTheme="majorHAnsi"/>
        </w:rPr>
        <w:t xml:space="preserve">growing awareness among </w:t>
      </w:r>
      <w:r w:rsidR="00043C56" w:rsidRPr="00EE35F4">
        <w:rPr>
          <w:rFonts w:asciiTheme="majorHAnsi" w:hAnsiTheme="majorHAnsi"/>
        </w:rPr>
        <w:t xml:space="preserve">the public </w:t>
      </w:r>
      <w:r w:rsidR="00D40764" w:rsidRPr="00EE35F4">
        <w:rPr>
          <w:rFonts w:asciiTheme="majorHAnsi" w:hAnsiTheme="majorHAnsi"/>
        </w:rPr>
        <w:t>that</w:t>
      </w:r>
      <w:r w:rsidR="00043C56" w:rsidRPr="00EE35F4">
        <w:rPr>
          <w:rFonts w:asciiTheme="majorHAnsi" w:hAnsiTheme="majorHAnsi"/>
        </w:rPr>
        <w:t xml:space="preserve"> cost-saving strategies like contingent faculty hiring</w:t>
      </w:r>
      <w:r w:rsidR="00D40764" w:rsidRPr="00EE35F4">
        <w:rPr>
          <w:rFonts w:asciiTheme="majorHAnsi" w:hAnsiTheme="majorHAnsi"/>
        </w:rPr>
        <w:t xml:space="preserve"> exist</w:t>
      </w:r>
      <w:r w:rsidR="00043C56" w:rsidRPr="00EE35F4">
        <w:rPr>
          <w:rFonts w:asciiTheme="majorHAnsi" w:hAnsiTheme="majorHAnsi"/>
        </w:rPr>
        <w:t xml:space="preserve"> </w:t>
      </w:r>
      <w:r w:rsidR="00D40764" w:rsidRPr="00EE35F4">
        <w:rPr>
          <w:rFonts w:asciiTheme="majorHAnsi" w:hAnsiTheme="majorHAnsi"/>
        </w:rPr>
        <w:t>alongside</w:t>
      </w:r>
      <w:r w:rsidR="00043C56" w:rsidRPr="00EE35F4">
        <w:rPr>
          <w:rFonts w:asciiTheme="majorHAnsi" w:hAnsiTheme="majorHAnsi"/>
        </w:rPr>
        <w:t xml:space="preserve"> rising costs of education and mounting student debt. Bluntly put, i</w:t>
      </w:r>
      <w:r w:rsidRPr="00EE35F4">
        <w:rPr>
          <w:rFonts w:asciiTheme="majorHAnsi" w:hAnsiTheme="majorHAnsi"/>
        </w:rPr>
        <w:t>t has become clear</w:t>
      </w:r>
      <w:r w:rsidR="00D40764" w:rsidRPr="00EE35F4">
        <w:rPr>
          <w:rFonts w:asciiTheme="majorHAnsi" w:hAnsiTheme="majorHAnsi"/>
        </w:rPr>
        <w:t xml:space="preserve"> </w:t>
      </w:r>
      <w:r w:rsidRPr="00EE35F4">
        <w:rPr>
          <w:rFonts w:asciiTheme="majorHAnsi" w:hAnsiTheme="majorHAnsi"/>
        </w:rPr>
        <w:t>that a strategy</w:t>
      </w:r>
      <w:r w:rsidR="004A5E43" w:rsidRPr="00EE35F4">
        <w:rPr>
          <w:rFonts w:asciiTheme="majorHAnsi" w:hAnsiTheme="majorHAnsi"/>
        </w:rPr>
        <w:t xml:space="preserve"> of contingency can only be sustained for so long since it</w:t>
      </w:r>
      <w:r w:rsidRPr="00EE35F4">
        <w:rPr>
          <w:rFonts w:asciiTheme="majorHAnsi" w:hAnsiTheme="majorHAnsi"/>
        </w:rPr>
        <w:t xml:space="preserve"> </w:t>
      </w:r>
      <w:r w:rsidR="004A5E43" w:rsidRPr="00EE35F4">
        <w:rPr>
          <w:rFonts w:asciiTheme="majorHAnsi" w:hAnsiTheme="majorHAnsi"/>
        </w:rPr>
        <w:t>underestimates</w:t>
      </w:r>
      <w:r w:rsidR="00D40764" w:rsidRPr="00EE35F4">
        <w:rPr>
          <w:rFonts w:asciiTheme="majorHAnsi" w:hAnsiTheme="majorHAnsi"/>
        </w:rPr>
        <w:t xml:space="preserve"> student needs</w:t>
      </w:r>
      <w:r w:rsidRPr="00EE35F4">
        <w:rPr>
          <w:rFonts w:asciiTheme="majorHAnsi" w:hAnsiTheme="majorHAnsi"/>
        </w:rPr>
        <w:t xml:space="preserve">, </w:t>
      </w:r>
      <w:r w:rsidR="00D40764" w:rsidRPr="00EE35F4">
        <w:rPr>
          <w:rFonts w:asciiTheme="majorHAnsi" w:hAnsiTheme="majorHAnsi"/>
        </w:rPr>
        <w:t>un</w:t>
      </w:r>
      <w:r w:rsidR="004A5E43" w:rsidRPr="00EE35F4">
        <w:rPr>
          <w:rFonts w:asciiTheme="majorHAnsi" w:hAnsiTheme="majorHAnsi"/>
        </w:rPr>
        <w:t>dermines faculty effectiveness</w:t>
      </w:r>
      <w:r w:rsidR="00D40764" w:rsidRPr="00EE35F4">
        <w:rPr>
          <w:rFonts w:asciiTheme="majorHAnsi" w:hAnsiTheme="majorHAnsi"/>
        </w:rPr>
        <w:t>, and</w:t>
      </w:r>
      <w:r w:rsidRPr="00EE35F4">
        <w:rPr>
          <w:rFonts w:asciiTheme="majorHAnsi" w:hAnsiTheme="majorHAnsi"/>
        </w:rPr>
        <w:t xml:space="preserve"> </w:t>
      </w:r>
      <w:r w:rsidR="004A5E43" w:rsidRPr="00EE35F4">
        <w:rPr>
          <w:rFonts w:asciiTheme="majorHAnsi" w:hAnsiTheme="majorHAnsi"/>
        </w:rPr>
        <w:t xml:space="preserve">sullies </w:t>
      </w:r>
      <w:r w:rsidRPr="00EE35F4">
        <w:rPr>
          <w:rFonts w:asciiTheme="majorHAnsi" w:hAnsiTheme="majorHAnsi"/>
        </w:rPr>
        <w:t>the university</w:t>
      </w:r>
      <w:r w:rsidR="00D40764" w:rsidRPr="00EE35F4">
        <w:rPr>
          <w:rFonts w:asciiTheme="majorHAnsi" w:hAnsiTheme="majorHAnsi"/>
        </w:rPr>
        <w:t>’</w:t>
      </w:r>
      <w:r w:rsidR="004A5E43" w:rsidRPr="00EE35F4">
        <w:rPr>
          <w:rFonts w:asciiTheme="majorHAnsi" w:hAnsiTheme="majorHAnsi"/>
        </w:rPr>
        <w:t xml:space="preserve">s reputation.  As it becomes more pervasive, it also becomes more expensive, thus undermining the effect contingency might once have had on </w:t>
      </w:r>
      <w:r w:rsidR="00D40764" w:rsidRPr="00EE35F4">
        <w:rPr>
          <w:rFonts w:asciiTheme="majorHAnsi" w:hAnsiTheme="majorHAnsi"/>
        </w:rPr>
        <w:t xml:space="preserve">the bottom line. </w:t>
      </w:r>
    </w:p>
    <w:p w14:paraId="0FF69D9E" w14:textId="77777777" w:rsidR="005D3DF7" w:rsidRPr="00EE35F4" w:rsidRDefault="004A5E43" w:rsidP="005D3DF7">
      <w:pPr>
        <w:spacing w:before="240" w:after="120"/>
        <w:ind w:firstLine="0"/>
        <w:rPr>
          <w:rFonts w:asciiTheme="majorHAnsi" w:hAnsiTheme="majorHAnsi"/>
        </w:rPr>
      </w:pPr>
      <w:r w:rsidRPr="00EE35F4">
        <w:rPr>
          <w:rFonts w:asciiTheme="majorHAnsi" w:hAnsiTheme="majorHAnsi"/>
        </w:rPr>
        <w:t>To address the trend in contingent faculty hiring</w:t>
      </w:r>
      <w:r w:rsidR="005D3DF7" w:rsidRPr="00EE35F4">
        <w:rPr>
          <w:rFonts w:asciiTheme="majorHAnsi" w:hAnsiTheme="majorHAnsi"/>
        </w:rPr>
        <w:t xml:space="preserve">, this document offers a proposal to revise appointment types for faculty that are currently off the tenure track at Colorado State University. The central aim of the proposal is to bring a permanent end to contingency for the majority of teaching faculty at CSU through the only means legislatively permissible in the state of Colorado besides tenure: ongoing multi-year contracts. We argue for contracts that automatically renew annually unless cause is demonstrated for non-renewal, and we argue for central funding of these contracts as well as due process/grievance for those hired. We believe that this proposal offers a defensible solution that will confirm CSU as an exemplar for top-tier teaching and research universities across the nation. </w:t>
      </w:r>
      <w:r w:rsidR="005D3DF7" w:rsidRPr="00EE35F4">
        <w:rPr>
          <w:rFonts w:asciiTheme="majorHAnsi" w:hAnsiTheme="majorHAnsi"/>
          <w:sz w:val="24"/>
        </w:rPr>
        <w:br w:type="page"/>
      </w:r>
    </w:p>
    <w:p w14:paraId="03097DF6" w14:textId="77777777" w:rsidR="005D3DF7" w:rsidRPr="00AC731B" w:rsidRDefault="005D3DF7" w:rsidP="005D3DF7">
      <w:pPr>
        <w:pStyle w:val="Heading1"/>
        <w:spacing w:before="240" w:after="120"/>
        <w:rPr>
          <w:rFonts w:asciiTheme="majorHAnsi" w:hAnsiTheme="majorHAnsi"/>
          <w:color w:val="003300"/>
          <w:sz w:val="28"/>
        </w:rPr>
      </w:pPr>
      <w:bookmarkStart w:id="3" w:name="_Toc452993094"/>
      <w:r w:rsidRPr="00AC731B">
        <w:rPr>
          <w:rFonts w:asciiTheme="majorHAnsi" w:hAnsiTheme="majorHAnsi"/>
          <w:color w:val="003300"/>
          <w:sz w:val="32"/>
          <w:szCs w:val="32"/>
        </w:rPr>
        <w:lastRenderedPageBreak/>
        <w:t>Foreword</w:t>
      </w:r>
      <w:bookmarkEnd w:id="3"/>
    </w:p>
    <w:p w14:paraId="1E31E564" w14:textId="697DBD8D"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Over a period of a full decade, CoNTTF, and its predecessor, the Provost’s Task Force on Non Tenure-Track Faculty, have taken seriously the charge to recommend to the University, Colleges, and Departments policies and definitions of their responsibilities to faculty off of the tenure track. Continuing this history of cooperative effort within a context of shared governance, CoNTTF offers the following proposal, the second in three years, to address and resolve the problems encountered by individuals teaching off the tenure track, a group that accounts today for more than 40% of faculty in the local context. Our proposal proceeds from the assumption that contingent faculty employment negatively affects student success and retention while impairing delivery of the CSU mission. We therefore propose to Faculty Council and CSU Administration as well as to the Board of Governors a plan that will move CSU forward by providing real opportunities and protections for </w:t>
      </w:r>
      <w:r w:rsidR="00905B2C" w:rsidRPr="00EE35F4">
        <w:rPr>
          <w:rFonts w:asciiTheme="majorHAnsi" w:hAnsiTheme="majorHAnsi"/>
        </w:rPr>
        <w:t>non-tenure</w:t>
      </w:r>
      <w:r w:rsidRPr="00EE35F4">
        <w:rPr>
          <w:rFonts w:asciiTheme="majorHAnsi" w:hAnsiTheme="majorHAnsi"/>
        </w:rPr>
        <w:t>-track faculty through the enforced use of legally permissible multiyear c</w:t>
      </w:r>
      <w:r w:rsidR="00B81A2D" w:rsidRPr="00EE35F4">
        <w:rPr>
          <w:rFonts w:asciiTheme="majorHAnsi" w:hAnsiTheme="majorHAnsi"/>
        </w:rPr>
        <w:t xml:space="preserve">ontracts offered to 80% of the </w:t>
      </w:r>
      <w:r w:rsidR="00905B2C" w:rsidRPr="00EE35F4">
        <w:rPr>
          <w:rFonts w:asciiTheme="majorHAnsi" w:hAnsiTheme="majorHAnsi"/>
        </w:rPr>
        <w:t>non-tenure</w:t>
      </w:r>
      <w:r w:rsidRPr="00EE35F4">
        <w:rPr>
          <w:rFonts w:asciiTheme="majorHAnsi" w:hAnsiTheme="majorHAnsi"/>
        </w:rPr>
        <w:t>-track faculty and protected by due process. Our goal is for all faculty to be able to explore ideas and educate freely in regard to any and all matters relevant to the disciplines and with the full support of the University.</w:t>
      </w:r>
    </w:p>
    <w:p w14:paraId="7B39E872"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This proposal emphasizes the opportunity that CSU has to continue its legacy as a leader in public education, serving students and society according to its land-grant mission, and protecting the pursuit of knowledge as well as the development of students. We believe these worthy goals can best be achieved through the assurance of fair and conducive working conditions that create an environment that promotes learning. To be clear and specific, we envision a future in which teaching faculty off the tenure track have secure positions, with proper offer letters and contractual arrangements that not only allow but </w:t>
      </w:r>
      <w:r w:rsidRPr="00EE35F4">
        <w:rPr>
          <w:rFonts w:asciiTheme="majorHAnsi" w:hAnsiTheme="majorHAnsi"/>
          <w:i/>
        </w:rPr>
        <w:t>promote</w:t>
      </w:r>
      <w:r w:rsidRPr="00EE35F4">
        <w:rPr>
          <w:rFonts w:asciiTheme="majorHAnsi" w:hAnsiTheme="majorHAnsi"/>
        </w:rPr>
        <w:t xml:space="preserve"> </w:t>
      </w:r>
      <w:r w:rsidRPr="00EE35F4">
        <w:rPr>
          <w:rFonts w:asciiTheme="majorHAnsi" w:hAnsiTheme="majorHAnsi"/>
          <w:i/>
        </w:rPr>
        <w:t>and assure</w:t>
      </w:r>
      <w:r w:rsidRPr="00EE35F4">
        <w:rPr>
          <w:rFonts w:asciiTheme="majorHAnsi" w:hAnsiTheme="majorHAnsi"/>
        </w:rPr>
        <w:t xml:space="preserve"> job security and career advancement opportunities. As a component of this approach, we call specifically for clear lines of central funding so that units, whether rich or poor, are not burdened with making individual decisions about the treatment of teaching faculty but are instead supported and rewarded for doing so. </w:t>
      </w:r>
    </w:p>
    <w:p w14:paraId="77975A51" w14:textId="79C6874F"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It is time for real and meaningful change to the status and working conditions of </w:t>
      </w:r>
      <w:r w:rsidR="00905B2C" w:rsidRPr="00EE35F4">
        <w:rPr>
          <w:rFonts w:asciiTheme="majorHAnsi" w:hAnsiTheme="majorHAnsi"/>
        </w:rPr>
        <w:t>non-tenure</w:t>
      </w:r>
      <w:r w:rsidRPr="00EE35F4">
        <w:rPr>
          <w:rFonts w:asciiTheme="majorHAnsi" w:hAnsiTheme="majorHAnsi"/>
        </w:rPr>
        <w:t xml:space="preserve">-track faculty at Colorado State University. With the changes we propose, the university will be better able to meet its own standards of inclusion, ethics, equality, and responsibility to society. Future generations and the long history of higher education, particularly in the proud land-grant tradition, demand no less. Moreover, we call for what we have been working toward with great patience and cooperation for a full decade. It is our belief that over this period the obligatory foundation has been established and the campus educated. As a result, all reasonable hope for a better moment has passed. We therefore call for an immediate reduction to the discrepancy between what is </w:t>
      </w:r>
      <w:r w:rsidRPr="00EE35F4">
        <w:rPr>
          <w:rFonts w:asciiTheme="majorHAnsi" w:hAnsiTheme="majorHAnsi"/>
          <w:i/>
        </w:rPr>
        <w:t>said</w:t>
      </w:r>
      <w:r w:rsidRPr="00EE35F4">
        <w:rPr>
          <w:rFonts w:asciiTheme="majorHAnsi" w:hAnsiTheme="majorHAnsi"/>
        </w:rPr>
        <w:t xml:space="preserve"> and what is </w:t>
      </w:r>
      <w:r w:rsidRPr="00EE35F4">
        <w:rPr>
          <w:rFonts w:asciiTheme="majorHAnsi" w:hAnsiTheme="majorHAnsi"/>
          <w:i/>
        </w:rPr>
        <w:t>done</w:t>
      </w:r>
      <w:r w:rsidRPr="00EE35F4">
        <w:rPr>
          <w:rFonts w:asciiTheme="majorHAnsi" w:hAnsiTheme="majorHAnsi"/>
        </w:rPr>
        <w:t xml:space="preserve">, between statements that non tenure-track faculty are valued and working conditions that suggest otherwise.  We call for recognition of the indisputable connection between the university as a learning-place and the university as a workplace. </w:t>
      </w:r>
    </w:p>
    <w:p w14:paraId="0470CDD7" w14:textId="345AC141"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We present this proposal with the expectation that change will occur </w:t>
      </w:r>
      <w:r w:rsidRPr="00EE35F4">
        <w:rPr>
          <w:rFonts w:asciiTheme="majorHAnsi" w:hAnsiTheme="majorHAnsi"/>
          <w:i/>
        </w:rPr>
        <w:t>not</w:t>
      </w:r>
      <w:r w:rsidRPr="00EE35F4">
        <w:rPr>
          <w:rFonts w:asciiTheme="majorHAnsi" w:hAnsiTheme="majorHAnsi"/>
        </w:rPr>
        <w:t xml:space="preserve"> in some distantly envisioned future but in a present that those currently teaching can actually experience. We therefore trust that a </w:t>
      </w:r>
      <w:r w:rsidR="00B81A2D" w:rsidRPr="00EE35F4">
        <w:rPr>
          <w:rFonts w:asciiTheme="majorHAnsi" w:hAnsiTheme="majorHAnsi"/>
        </w:rPr>
        <w:t xml:space="preserve">formal, detailed </w:t>
      </w:r>
      <w:r w:rsidRPr="00EE35F4">
        <w:rPr>
          <w:rFonts w:asciiTheme="majorHAnsi" w:hAnsiTheme="majorHAnsi"/>
        </w:rPr>
        <w:t xml:space="preserve">response to this proposal will be provided by administration </w:t>
      </w:r>
      <w:r w:rsidR="00B81A2D" w:rsidRPr="00EE35F4">
        <w:rPr>
          <w:rFonts w:asciiTheme="majorHAnsi" w:hAnsiTheme="majorHAnsi"/>
        </w:rPr>
        <w:t xml:space="preserve">by the end of the Fall 2016 semester, or December 16, 2016. </w:t>
      </w:r>
      <w:r w:rsidRPr="00EE35F4">
        <w:rPr>
          <w:rFonts w:asciiTheme="majorHAnsi" w:hAnsiTheme="majorHAnsi"/>
        </w:rPr>
        <w:t xml:space="preserve">  </w:t>
      </w:r>
    </w:p>
    <w:p w14:paraId="769560AF" w14:textId="6495CE2B" w:rsidR="005D3DF7" w:rsidRPr="00EE35F4" w:rsidRDefault="00D61D03" w:rsidP="005D3DF7">
      <w:pPr>
        <w:spacing w:before="240" w:after="120"/>
        <w:ind w:firstLine="0"/>
        <w:rPr>
          <w:rFonts w:asciiTheme="majorHAnsi" w:hAnsiTheme="majorHAnsi"/>
        </w:rPr>
      </w:pPr>
      <w:r>
        <w:rPr>
          <w:rFonts w:asciiTheme="majorHAnsi" w:hAnsiTheme="majorHAnsi"/>
        </w:rPr>
        <w:t>Delivered June 2</w:t>
      </w:r>
      <w:r w:rsidR="003E6AC2">
        <w:rPr>
          <w:rFonts w:asciiTheme="majorHAnsi" w:hAnsiTheme="majorHAnsi"/>
        </w:rPr>
        <w:t>8</w:t>
      </w:r>
      <w:r w:rsidR="005D3DF7" w:rsidRPr="00EE35F4">
        <w:rPr>
          <w:rFonts w:asciiTheme="majorHAnsi" w:hAnsiTheme="majorHAnsi"/>
        </w:rPr>
        <w:t>, 2016</w:t>
      </w:r>
    </w:p>
    <w:p w14:paraId="5BAB0086" w14:textId="77777777" w:rsidR="005D3DF7" w:rsidRPr="00EE35F4" w:rsidRDefault="005D3DF7" w:rsidP="005D3DF7">
      <w:pPr>
        <w:rPr>
          <w:rFonts w:asciiTheme="majorHAnsi" w:hAnsiTheme="majorHAnsi"/>
        </w:rPr>
      </w:pPr>
      <w:r w:rsidRPr="00EE35F4">
        <w:rPr>
          <w:rFonts w:asciiTheme="majorHAnsi" w:hAnsiTheme="majorHAnsi"/>
        </w:rPr>
        <w:br w:type="page"/>
      </w:r>
    </w:p>
    <w:p w14:paraId="4A4004B2" w14:textId="77777777" w:rsidR="005D3DF7" w:rsidRPr="00EE35F4" w:rsidRDefault="005D3DF7" w:rsidP="005D3DF7">
      <w:pPr>
        <w:spacing w:before="240" w:after="120"/>
        <w:ind w:firstLine="0"/>
        <w:rPr>
          <w:rFonts w:asciiTheme="majorHAnsi" w:hAnsiTheme="majorHAnsi"/>
        </w:rPr>
      </w:pPr>
    </w:p>
    <w:p w14:paraId="15010FB6" w14:textId="77777777" w:rsidR="005D3DF7" w:rsidRPr="00EE35F4" w:rsidRDefault="005D3DF7" w:rsidP="005D3DF7">
      <w:pPr>
        <w:spacing w:before="240" w:after="120"/>
        <w:ind w:firstLine="0"/>
        <w:rPr>
          <w:rFonts w:asciiTheme="majorHAnsi" w:hAnsiTheme="majorHAnsi"/>
          <w:sz w:val="24"/>
        </w:rPr>
      </w:pPr>
    </w:p>
    <w:bookmarkStart w:id="4" w:name="h.3znysh7" w:colFirst="0" w:colLast="0"/>
    <w:bookmarkEnd w:id="4"/>
    <w:p w14:paraId="64C473EF" w14:textId="74C10017" w:rsidR="005D3DF7" w:rsidRPr="00EE35F4" w:rsidRDefault="0057064B" w:rsidP="0057064B">
      <w:pPr>
        <w:pStyle w:val="Heading1"/>
        <w:spacing w:before="240" w:after="120"/>
        <w:ind w:left="-720"/>
        <w:rPr>
          <w:rFonts w:asciiTheme="majorHAnsi" w:hAnsiTheme="majorHAnsi"/>
          <w:sz w:val="36"/>
          <w:szCs w:val="32"/>
        </w:rPr>
        <w:sectPr w:rsidR="005D3DF7" w:rsidRPr="00EE35F4" w:rsidSect="00772E84">
          <w:pgSz w:w="12240" w:h="15840"/>
          <w:pgMar w:top="720" w:right="1008" w:bottom="720" w:left="1008" w:header="720" w:footer="576" w:gutter="0"/>
          <w:pgNumType w:fmt="lowerRoman"/>
          <w:cols w:space="720" w:equalWidth="0">
            <w:col w:w="8982"/>
          </w:cols>
          <w:docGrid w:linePitch="299"/>
        </w:sectPr>
      </w:pPr>
      <w:r w:rsidRPr="00EE35F4">
        <w:rPr>
          <w:rFonts w:asciiTheme="majorHAnsi" w:hAnsiTheme="majorHAnsi"/>
          <w:sz w:val="36"/>
          <w:szCs w:val="32"/>
        </w:rPr>
        <w:object w:dxaOrig="10800" w:dyaOrig="8100" w14:anchorId="6DCEA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477.75pt" o:ole="">
            <v:imagedata r:id="rId11" o:title=""/>
          </v:shape>
          <o:OLEObject Type="Embed" ProgID="Acrobat.Document.DC" ShapeID="_x0000_i1025" DrawAspect="Content" ObjectID="_1710682128" r:id="rId12"/>
        </w:object>
      </w:r>
    </w:p>
    <w:p w14:paraId="5FA08837" w14:textId="77777777" w:rsidR="005D3DF7" w:rsidRPr="00AC731B" w:rsidRDefault="005D3DF7" w:rsidP="005D3DF7">
      <w:pPr>
        <w:pStyle w:val="Heading1"/>
        <w:spacing w:before="240" w:after="120"/>
        <w:ind w:right="-576"/>
        <w:rPr>
          <w:rFonts w:asciiTheme="majorHAnsi" w:hAnsiTheme="majorHAnsi"/>
          <w:color w:val="003300"/>
        </w:rPr>
      </w:pPr>
      <w:bookmarkStart w:id="5" w:name="_Toc452993096"/>
      <w:r w:rsidRPr="00AC731B">
        <w:rPr>
          <w:rFonts w:asciiTheme="majorHAnsi" w:hAnsiTheme="majorHAnsi"/>
          <w:color w:val="003300"/>
          <w:sz w:val="32"/>
          <w:szCs w:val="32"/>
        </w:rPr>
        <w:lastRenderedPageBreak/>
        <w:t>The Proposal: Transformation of Non-Tenure-Track Faculty Appointments</w:t>
      </w:r>
      <w:bookmarkEnd w:id="5"/>
    </w:p>
    <w:p w14:paraId="2C969181" w14:textId="77777777" w:rsidR="005D3DF7" w:rsidRPr="00EE35F4" w:rsidRDefault="005D3DF7" w:rsidP="005D3DF7">
      <w:pPr>
        <w:spacing w:before="240" w:after="120"/>
        <w:ind w:firstLine="0"/>
        <w:rPr>
          <w:rFonts w:asciiTheme="majorHAnsi" w:hAnsiTheme="majorHAnsi"/>
        </w:rPr>
      </w:pPr>
      <w:bookmarkStart w:id="6" w:name="h.tyjcwt" w:colFirst="0" w:colLast="0"/>
      <w:bookmarkEnd w:id="6"/>
      <w:r w:rsidRPr="00EE35F4">
        <w:rPr>
          <w:rFonts w:asciiTheme="majorHAnsi" w:hAnsiTheme="majorHAnsi"/>
        </w:rPr>
        <w:t xml:space="preserve">This proposal describes new appointment types and career pathways for faculty currently off the tenure track at Colorado State University (CSU).  Colorado state laws assert that faculty can have only one of three contractual statuses: tenured, on multi-year contracts, or at will. While we acknowledge that tenure is the most reasonable, ethical, and equitable mechanism to ensure the necessary protections, integrity, and rigor of the teaching profession in higher education, we also recognize that “tenure for all” may not be a feasible transformation. Therefore, we propose a system that achieves a means to certain ends - specifically job security through renewable multiyear contracts as a strategy for assuring academic freedom of teaching, research, extension, and additional activities performed on behalf of the University. </w:t>
      </w:r>
    </w:p>
    <w:p w14:paraId="2758CE71"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We argue for long-term job security--whether the arrangement is called “instructor tenure” or “vested teaching faculty,” or “renewable multiyear contract” or something else—for all teaching faculty meeting high levels of expectation. Throughout this proposal, we use the term “vested” with the caveat that we recognize the importance and the problem with terms.  However, we also have seen how decisions are too often delayed in a search for best descriptors. We submit, therefore, that regardless of name, the system we describe is sufficiently robust as to maintain and promote the integrity and spirit of tenure. While tenure-line colleagues may have position descriptions, workload distributions, and evaluation criteria that differ from those off the tenure-track, this proposal seeks to be supportive of and aligned with the gold standard of tenure by invoking the fundamental principle of protection—or the idea that the free and necessary exploration of new and sometimes controversial ideas, whether in the classroom, laboratory, or field depends directly upon security of employment. </w:t>
      </w:r>
    </w:p>
    <w:p w14:paraId="14F490F5"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We believe that the notion of a “vested” teaching track will avoid the bifurcating effect of a privileged tenured faculty working alongside a disadvantaged untenured teaching track, the result of which is to marginalize teaching. For the sake of students, taxpayers, and the citizens of Colorado and the world, positioning teaching as a central pillar of the land grant mission is essential, representing as it does, the people’s clearest return on investment. The notion of vesting also combines the best characteristics of the non-tenure-track position (relative ease of hiring and focused effort on a single, necessary, and specialized area of the normally three-part faculty workload) with the best features of tenure (security of employment and professional opportunity in the form of ongoing professional development and an incentivized career ladder) while making it possible to extend most of the protections of tenure to a larger group. We finally and perhaps most importantly believe that our approach ensures that the profession of university teaching will remain attractive to women and men of ability and ambition in a context of scarcity; we believe that this approach may thus actually improve the qualifications of those seeking to become college teachers, thus benefitting students and society. In the type of position we envision, specialized teaching positions become normalized and valued roles, rather than an unbundled and inferior by-product of a beleaguered tenure system. </w:t>
      </w:r>
    </w:p>
    <w:p w14:paraId="0569BA8F" w14:textId="6F4086C9" w:rsidR="005D3DF7" w:rsidRPr="00EE35F4" w:rsidRDefault="005D3DF7" w:rsidP="005D3DF7">
      <w:pPr>
        <w:spacing w:before="240" w:after="120"/>
        <w:ind w:firstLine="0"/>
        <w:rPr>
          <w:rFonts w:asciiTheme="majorHAnsi" w:hAnsiTheme="majorHAnsi"/>
        </w:rPr>
      </w:pPr>
      <w:r w:rsidRPr="00EE35F4">
        <w:rPr>
          <w:rFonts w:asciiTheme="majorHAnsi" w:hAnsiTheme="majorHAnsi"/>
        </w:rPr>
        <w:t>For those on the tenure-track who are anxious about our proposal, fearing perhaps that we are unwittingly subscribing here to a neoliberal, market-based view of education, we want to assure you that we are aware of what we are doing and of the high stakes involved. We hold that as an institution and as an enterprise, higher education could very well lose an entire generation of highly trained and talented scholars—ourselves among them-- if we insist on maintaining allegiance to the coin of the realm, tenure, when</w:t>
      </w:r>
      <w:r w:rsidR="0041061A" w:rsidRPr="00EE35F4">
        <w:rPr>
          <w:rFonts w:asciiTheme="majorHAnsi" w:hAnsiTheme="majorHAnsi"/>
        </w:rPr>
        <w:t xml:space="preserve"> PhD or other terminal degree-holding</w:t>
      </w:r>
      <w:r w:rsidRPr="00EE35F4">
        <w:rPr>
          <w:rFonts w:asciiTheme="majorHAnsi" w:hAnsiTheme="majorHAnsi"/>
        </w:rPr>
        <w:t xml:space="preserve"> holding scholars like ourselves stand ready to serve and, frankly, </w:t>
      </w:r>
      <w:r w:rsidR="0041061A" w:rsidRPr="00EE35F4">
        <w:rPr>
          <w:rFonts w:asciiTheme="majorHAnsi" w:hAnsiTheme="majorHAnsi"/>
        </w:rPr>
        <w:t>have earned secure faculty appointment</w:t>
      </w:r>
      <w:r w:rsidRPr="00EE35F4">
        <w:rPr>
          <w:rFonts w:asciiTheme="majorHAnsi" w:hAnsiTheme="majorHAnsi"/>
        </w:rPr>
        <w:t xml:space="preserve"> with benefits and a living wage. While we hope that in future years tenure will one day be restored, we do not believe it is ethical to hold </w:t>
      </w:r>
      <w:r w:rsidR="00905B2C" w:rsidRPr="00EE35F4">
        <w:rPr>
          <w:rFonts w:asciiTheme="majorHAnsi" w:hAnsiTheme="majorHAnsi"/>
        </w:rPr>
        <w:t>a</w:t>
      </w:r>
      <w:r w:rsidRPr="00EE35F4">
        <w:rPr>
          <w:rFonts w:asciiTheme="majorHAnsi" w:hAnsiTheme="majorHAnsi"/>
        </w:rPr>
        <w:t xml:space="preserve"> whole generation captive while we wait for circumstances to improve.</w:t>
      </w:r>
    </w:p>
    <w:p w14:paraId="4426B23A"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lastRenderedPageBreak/>
        <w:t xml:space="preserve">The system we propose recommends a structure for full-time teaching faculty appointments to pursue a career path that implies a definition of “scholarship” that goes beyond research and publication to include curriculum authorship, teaching delivery, and pedagogical innovation as documentable achievements.  It argues as well for the non-tenure-track faculty (NTTF) member’s fully emancipated participation in shared governance. Ensuring academic freedom in the midst of enhanced praxis, professional opportunity, incentive for advancement, and a voice in shared governance will fortify the success of the institution by more fully meeting institutional obligations to students and to society. </w:t>
      </w:r>
    </w:p>
    <w:p w14:paraId="1B903057" w14:textId="5EC308CF" w:rsidR="005D3DF7" w:rsidRPr="00EE35F4" w:rsidRDefault="005D3DF7" w:rsidP="005D3DF7">
      <w:pPr>
        <w:spacing w:before="240" w:after="120"/>
        <w:ind w:firstLine="0"/>
        <w:rPr>
          <w:rFonts w:asciiTheme="majorHAnsi" w:hAnsiTheme="majorHAnsi"/>
        </w:rPr>
      </w:pPr>
      <w:r w:rsidRPr="00EE35F4">
        <w:rPr>
          <w:rFonts w:asciiTheme="majorHAnsi" w:hAnsiTheme="majorHAnsi"/>
        </w:rPr>
        <w:t>We call upon central administration to respond publicly and officially to our proposal in a timely way (</w:t>
      </w:r>
      <w:r w:rsidR="0041061A" w:rsidRPr="00EE35F4">
        <w:rPr>
          <w:rFonts w:asciiTheme="majorHAnsi" w:hAnsiTheme="majorHAnsi"/>
        </w:rPr>
        <w:t xml:space="preserve">by the </w:t>
      </w:r>
      <w:r w:rsidR="007254A1" w:rsidRPr="00EE35F4">
        <w:rPr>
          <w:rFonts w:asciiTheme="majorHAnsi" w:hAnsiTheme="majorHAnsi"/>
        </w:rPr>
        <w:t xml:space="preserve">end of the Fall 2016 semester, </w:t>
      </w:r>
      <w:r w:rsidR="0041061A" w:rsidRPr="00EE35F4">
        <w:rPr>
          <w:rFonts w:asciiTheme="majorHAnsi" w:hAnsiTheme="majorHAnsi"/>
        </w:rPr>
        <w:t>December 16</w:t>
      </w:r>
      <w:r w:rsidRPr="00EE35F4">
        <w:rPr>
          <w:rFonts w:asciiTheme="majorHAnsi" w:hAnsiTheme="majorHAnsi"/>
        </w:rPr>
        <w:t xml:space="preserve">), the key elements of which are as follows: </w:t>
      </w:r>
    </w:p>
    <w:p w14:paraId="059B4836" w14:textId="77777777" w:rsidR="005D3DF7" w:rsidRPr="00EE35F4" w:rsidRDefault="005D3DF7" w:rsidP="005D3DF7">
      <w:pPr>
        <w:numPr>
          <w:ilvl w:val="0"/>
          <w:numId w:val="8"/>
        </w:numPr>
        <w:spacing w:before="240" w:after="120"/>
        <w:ind w:hanging="360"/>
        <w:jc w:val="both"/>
        <w:rPr>
          <w:rFonts w:asciiTheme="majorHAnsi" w:hAnsiTheme="majorHAnsi"/>
        </w:rPr>
      </w:pPr>
      <w:r w:rsidRPr="00EE35F4">
        <w:rPr>
          <w:rFonts w:asciiTheme="majorHAnsi" w:hAnsiTheme="majorHAnsi"/>
        </w:rPr>
        <w:t>There shall be a system implemented for Secure and Protected appointments for teaching faculty. This will be a vested career path appointment for faculty hired to teach on a continuous basis with access to a grievance process and all rights within.</w:t>
      </w:r>
    </w:p>
    <w:p w14:paraId="312DE17C" w14:textId="77777777" w:rsidR="005D3DF7" w:rsidRPr="00EE35F4" w:rsidRDefault="005D3DF7" w:rsidP="005D3DF7">
      <w:pPr>
        <w:numPr>
          <w:ilvl w:val="0"/>
          <w:numId w:val="8"/>
        </w:numPr>
        <w:spacing w:before="240" w:after="120"/>
        <w:ind w:hanging="360"/>
        <w:jc w:val="both"/>
        <w:rPr>
          <w:rFonts w:asciiTheme="majorHAnsi" w:hAnsiTheme="majorHAnsi"/>
        </w:rPr>
      </w:pPr>
      <w:r w:rsidRPr="00EE35F4">
        <w:rPr>
          <w:rFonts w:asciiTheme="majorHAnsi" w:hAnsiTheme="majorHAnsi"/>
        </w:rPr>
        <w:t>There shall be a system of oversight and enforcement to ensure the implementation of the vested career path and the new faculty appointments for teaching and specialized positions off of the tenure track.</w:t>
      </w:r>
    </w:p>
    <w:p w14:paraId="48302FC8" w14:textId="77777777" w:rsidR="005D3DF7" w:rsidRPr="00EE35F4" w:rsidRDefault="005D3DF7" w:rsidP="005D3DF7">
      <w:pPr>
        <w:numPr>
          <w:ilvl w:val="0"/>
          <w:numId w:val="8"/>
        </w:numPr>
        <w:spacing w:before="240" w:after="120"/>
        <w:ind w:hanging="360"/>
        <w:jc w:val="both"/>
        <w:rPr>
          <w:rFonts w:asciiTheme="majorHAnsi" w:hAnsiTheme="majorHAnsi"/>
        </w:rPr>
      </w:pPr>
      <w:r w:rsidRPr="00EE35F4">
        <w:rPr>
          <w:rFonts w:asciiTheme="majorHAnsi" w:hAnsiTheme="majorHAnsi"/>
        </w:rPr>
        <w:t xml:space="preserve">Faculty off of the tenure track and on multi-year contracts or without term appointments shall be eligible for due process. There shall be a centralized due process system that supersedes individual departments and colleges in order to provide processes and support for any NTTF member seeking redress (grievance) for harms incurred. Such harms would include but are not limited to a non-voluntary reduction in work, a capricious or unfair change in material conditions or support, non-renewal of appointment if on a contract or without term appointment, and termination. </w:t>
      </w:r>
    </w:p>
    <w:p w14:paraId="7BA5EE69" w14:textId="77777777" w:rsidR="005D3DF7" w:rsidRPr="00EE35F4" w:rsidRDefault="005D3DF7" w:rsidP="005D3DF7">
      <w:pPr>
        <w:numPr>
          <w:ilvl w:val="0"/>
          <w:numId w:val="8"/>
        </w:numPr>
        <w:spacing w:before="240" w:after="120"/>
        <w:ind w:hanging="360"/>
        <w:jc w:val="both"/>
        <w:rPr>
          <w:rFonts w:asciiTheme="majorHAnsi" w:hAnsiTheme="majorHAnsi"/>
        </w:rPr>
      </w:pPr>
      <w:r w:rsidRPr="00EE35F4">
        <w:rPr>
          <w:rFonts w:asciiTheme="majorHAnsi" w:hAnsiTheme="majorHAnsi"/>
        </w:rPr>
        <w:t>There shall be centralized funding for vested career path faculty appointments for teaching.</w:t>
      </w:r>
    </w:p>
    <w:p w14:paraId="27B81B6C" w14:textId="77777777" w:rsidR="005D3DF7" w:rsidRPr="00EE35F4" w:rsidRDefault="005D3DF7" w:rsidP="005D3DF7">
      <w:pPr>
        <w:numPr>
          <w:ilvl w:val="0"/>
          <w:numId w:val="8"/>
        </w:numPr>
        <w:spacing w:before="240" w:after="120"/>
        <w:ind w:hanging="360"/>
        <w:jc w:val="both"/>
        <w:rPr>
          <w:rFonts w:asciiTheme="majorHAnsi" w:hAnsiTheme="majorHAnsi"/>
        </w:rPr>
      </w:pPr>
      <w:r w:rsidRPr="00EE35F4">
        <w:rPr>
          <w:rFonts w:asciiTheme="majorHAnsi" w:hAnsiTheme="majorHAnsi"/>
        </w:rPr>
        <w:t>All teaching, adjunct, temporary, and specialized faculty shall be hired in an ethical and legal process that is approved and monitored by the Office of Equal Opportunity (OEO).</w:t>
      </w:r>
    </w:p>
    <w:p w14:paraId="5D00B9A7" w14:textId="77777777" w:rsidR="005D3DF7" w:rsidRPr="00EE35F4" w:rsidRDefault="005D3DF7" w:rsidP="005D3DF7">
      <w:pPr>
        <w:numPr>
          <w:ilvl w:val="0"/>
          <w:numId w:val="8"/>
        </w:numPr>
        <w:spacing w:before="240" w:after="120"/>
        <w:ind w:hanging="360"/>
        <w:jc w:val="both"/>
        <w:rPr>
          <w:rFonts w:asciiTheme="majorHAnsi" w:hAnsiTheme="majorHAnsi"/>
        </w:rPr>
      </w:pPr>
      <w:r w:rsidRPr="00EE35F4">
        <w:rPr>
          <w:rFonts w:asciiTheme="majorHAnsi" w:hAnsiTheme="majorHAnsi"/>
        </w:rPr>
        <w:t>All teaching, adjunct, temporary, and specialized faculty shall be evaluated and notified of evaluation outcomes.</w:t>
      </w:r>
    </w:p>
    <w:p w14:paraId="7FDF1714" w14:textId="77777777" w:rsidR="005D3DF7" w:rsidRPr="00EE35F4" w:rsidRDefault="005D3DF7" w:rsidP="005D3DF7">
      <w:pPr>
        <w:numPr>
          <w:ilvl w:val="0"/>
          <w:numId w:val="8"/>
        </w:numPr>
        <w:spacing w:before="240" w:after="120"/>
        <w:ind w:hanging="360"/>
        <w:jc w:val="both"/>
        <w:rPr>
          <w:rFonts w:asciiTheme="majorHAnsi" w:hAnsiTheme="majorHAnsi"/>
        </w:rPr>
      </w:pPr>
      <w:r w:rsidRPr="00EE35F4">
        <w:rPr>
          <w:rFonts w:asciiTheme="majorHAnsi" w:hAnsiTheme="majorHAnsi"/>
        </w:rPr>
        <w:t xml:space="preserve">All teaching, adjunct, temporary, and specialized faculty shall be provided resources and support for the work they are hired to do. Professional development may be considered one such reasonable form of resource and support and is also a necessary component of teaching effectiveness without which teaching is likely to become dated and stale. </w:t>
      </w:r>
    </w:p>
    <w:p w14:paraId="2C854B2F" w14:textId="77777777" w:rsidR="005D3DF7" w:rsidRPr="00EE35F4" w:rsidRDefault="005D3DF7" w:rsidP="005D3DF7">
      <w:pPr>
        <w:numPr>
          <w:ilvl w:val="0"/>
          <w:numId w:val="8"/>
        </w:numPr>
        <w:spacing w:before="240" w:after="120"/>
        <w:ind w:hanging="360"/>
        <w:jc w:val="both"/>
        <w:rPr>
          <w:rFonts w:asciiTheme="majorHAnsi" w:hAnsiTheme="majorHAnsi"/>
        </w:rPr>
      </w:pPr>
      <w:r w:rsidRPr="00EE35F4">
        <w:rPr>
          <w:rFonts w:asciiTheme="majorHAnsi" w:hAnsiTheme="majorHAnsi"/>
        </w:rPr>
        <w:t xml:space="preserve">All teaching, adjunct, temporary, and specialized faculty shall be hired with a specific offer letter that directly states the following: </w:t>
      </w:r>
    </w:p>
    <w:p w14:paraId="10A219BA" w14:textId="77777777" w:rsidR="005D3DF7" w:rsidRPr="00EE35F4" w:rsidRDefault="005D3DF7" w:rsidP="005D3DF7">
      <w:pPr>
        <w:numPr>
          <w:ilvl w:val="0"/>
          <w:numId w:val="1"/>
        </w:numPr>
        <w:tabs>
          <w:tab w:val="left" w:pos="2520"/>
        </w:tabs>
        <w:spacing w:before="240" w:after="120"/>
        <w:ind w:left="1080" w:hanging="360"/>
        <w:jc w:val="both"/>
        <w:rPr>
          <w:rFonts w:asciiTheme="majorHAnsi" w:hAnsiTheme="majorHAnsi"/>
        </w:rPr>
      </w:pPr>
      <w:r w:rsidRPr="00EE35F4">
        <w:rPr>
          <w:rFonts w:asciiTheme="majorHAnsi" w:hAnsiTheme="majorHAnsi"/>
        </w:rPr>
        <w:t xml:space="preserve">The appointment type and what it means for the faculty member’s position based on the definition in the </w:t>
      </w:r>
      <w:r w:rsidRPr="00EE35F4">
        <w:rPr>
          <w:rFonts w:asciiTheme="majorHAnsi" w:hAnsiTheme="majorHAnsi"/>
          <w:i/>
        </w:rPr>
        <w:t xml:space="preserve">Academic Faculty and Administrative Professional Manual </w:t>
      </w:r>
      <w:r w:rsidRPr="00EE35F4">
        <w:rPr>
          <w:rFonts w:asciiTheme="majorHAnsi" w:hAnsiTheme="majorHAnsi"/>
        </w:rPr>
        <w:t xml:space="preserve">(the </w:t>
      </w:r>
      <w:r w:rsidRPr="00EE35F4">
        <w:rPr>
          <w:rFonts w:asciiTheme="majorHAnsi" w:hAnsiTheme="majorHAnsi"/>
          <w:i/>
        </w:rPr>
        <w:t>Manual</w:t>
      </w:r>
      <w:r w:rsidRPr="00EE35F4">
        <w:rPr>
          <w:rFonts w:asciiTheme="majorHAnsi" w:hAnsiTheme="majorHAnsi"/>
        </w:rPr>
        <w:t>).</w:t>
      </w:r>
    </w:p>
    <w:p w14:paraId="35C1AB45" w14:textId="77777777" w:rsidR="005D3DF7" w:rsidRPr="00EE35F4" w:rsidRDefault="005D3DF7" w:rsidP="005D3DF7">
      <w:pPr>
        <w:numPr>
          <w:ilvl w:val="0"/>
          <w:numId w:val="1"/>
        </w:numPr>
        <w:tabs>
          <w:tab w:val="left" w:pos="2520"/>
        </w:tabs>
        <w:spacing w:before="240" w:after="120"/>
        <w:ind w:left="1080" w:hanging="360"/>
        <w:jc w:val="both"/>
        <w:rPr>
          <w:rFonts w:asciiTheme="majorHAnsi" w:hAnsiTheme="majorHAnsi"/>
        </w:rPr>
      </w:pPr>
      <w:r w:rsidRPr="00EE35F4">
        <w:rPr>
          <w:rFonts w:asciiTheme="majorHAnsi" w:hAnsiTheme="majorHAnsi"/>
        </w:rPr>
        <w:t>The job expectations and responsibilities.</w:t>
      </w:r>
    </w:p>
    <w:p w14:paraId="61D44078" w14:textId="77777777" w:rsidR="005D3DF7" w:rsidRPr="00EE35F4" w:rsidRDefault="005D3DF7" w:rsidP="005D3DF7">
      <w:pPr>
        <w:numPr>
          <w:ilvl w:val="0"/>
          <w:numId w:val="1"/>
        </w:numPr>
        <w:tabs>
          <w:tab w:val="left" w:pos="2520"/>
        </w:tabs>
        <w:spacing w:before="240" w:after="120"/>
        <w:ind w:left="1080" w:hanging="360"/>
        <w:jc w:val="both"/>
        <w:rPr>
          <w:rFonts w:asciiTheme="majorHAnsi" w:hAnsiTheme="majorHAnsi"/>
        </w:rPr>
      </w:pPr>
      <w:r w:rsidRPr="00EE35F4">
        <w:rPr>
          <w:rFonts w:asciiTheme="majorHAnsi" w:hAnsiTheme="majorHAnsi"/>
        </w:rPr>
        <w:t>The evaluation process and timeline and the opportunities and funds for professional development support.</w:t>
      </w:r>
    </w:p>
    <w:p w14:paraId="26BA2399" w14:textId="3B24154C" w:rsidR="005D3DF7" w:rsidRPr="00EE35F4" w:rsidRDefault="005D3DF7" w:rsidP="00B55FC2">
      <w:pPr>
        <w:numPr>
          <w:ilvl w:val="0"/>
          <w:numId w:val="25"/>
        </w:numPr>
        <w:spacing w:before="240" w:after="120"/>
        <w:ind w:hanging="360"/>
        <w:jc w:val="both"/>
        <w:rPr>
          <w:rFonts w:asciiTheme="majorHAnsi" w:hAnsiTheme="majorHAnsi"/>
        </w:rPr>
      </w:pPr>
      <w:r w:rsidRPr="00EE35F4">
        <w:rPr>
          <w:rFonts w:asciiTheme="majorHAnsi" w:hAnsiTheme="majorHAnsi"/>
        </w:rPr>
        <w:lastRenderedPageBreak/>
        <w:t xml:space="preserve">All teaching faculty who hold the </w:t>
      </w:r>
      <w:r w:rsidR="004E1AD1">
        <w:rPr>
          <w:rFonts w:asciiTheme="majorHAnsi" w:hAnsiTheme="majorHAnsi"/>
        </w:rPr>
        <w:t xml:space="preserve">current </w:t>
      </w:r>
      <w:r w:rsidRPr="00EE35F4">
        <w:rPr>
          <w:rFonts w:asciiTheme="majorHAnsi" w:hAnsiTheme="majorHAnsi"/>
        </w:rPr>
        <w:t>senior teaching appointment</w:t>
      </w:r>
      <w:r w:rsidR="004E1AD1">
        <w:rPr>
          <w:rFonts w:asciiTheme="majorHAnsi" w:hAnsiTheme="majorHAnsi"/>
        </w:rPr>
        <w:t xml:space="preserve"> or become senior teaching faculty</w:t>
      </w:r>
      <w:r w:rsidRPr="00EE35F4">
        <w:rPr>
          <w:rFonts w:asciiTheme="majorHAnsi" w:hAnsiTheme="majorHAnsi"/>
        </w:rPr>
        <w:t>, a renewable contract and/or a without term appointment shall be eligible to participate in the presiding unit’s salary exercise.</w:t>
      </w:r>
    </w:p>
    <w:p w14:paraId="4DF45C8E" w14:textId="77777777" w:rsidR="005D3DF7" w:rsidRPr="00EE35F4" w:rsidRDefault="005D3DF7" w:rsidP="00B55FC2">
      <w:pPr>
        <w:numPr>
          <w:ilvl w:val="0"/>
          <w:numId w:val="25"/>
        </w:numPr>
        <w:spacing w:before="240" w:after="120"/>
        <w:ind w:hanging="360"/>
        <w:jc w:val="both"/>
        <w:rPr>
          <w:rFonts w:asciiTheme="majorHAnsi" w:hAnsiTheme="majorHAnsi"/>
        </w:rPr>
      </w:pPr>
      <w:r w:rsidRPr="00EE35F4">
        <w:rPr>
          <w:rFonts w:asciiTheme="majorHAnsi" w:hAnsiTheme="majorHAnsi"/>
        </w:rPr>
        <w:t>All teaching faculty shall be fully emancipated into the governance life of the unit and the larger university, including full voting rights at all levels.</w:t>
      </w:r>
    </w:p>
    <w:p w14:paraId="328F815D" w14:textId="31AEECEC" w:rsidR="005D3DF7" w:rsidRPr="00EE35F4" w:rsidRDefault="005D3DF7" w:rsidP="005D3DF7">
      <w:pPr>
        <w:spacing w:before="240" w:after="120"/>
        <w:ind w:firstLine="0"/>
        <w:rPr>
          <w:rFonts w:asciiTheme="majorHAnsi" w:hAnsiTheme="majorHAnsi"/>
        </w:rPr>
      </w:pPr>
      <w:bookmarkStart w:id="7" w:name="h.3dy6vkm" w:colFirst="0" w:colLast="0"/>
      <w:bookmarkEnd w:id="7"/>
      <w:r w:rsidRPr="00EE35F4">
        <w:rPr>
          <w:rFonts w:asciiTheme="majorHAnsi" w:hAnsiTheme="majorHAnsi"/>
        </w:rPr>
        <w:t>This proposal marks ten years of spirited effort of working through and within a shared- governance model. It is in fact our position that to continue to offer up ideas and then be sent back to the drawing board is no longer in the best interest of the committee or the people it represents. This set of proposals that are outlined above and</w:t>
      </w:r>
      <w:r w:rsidR="00717491">
        <w:rPr>
          <w:rFonts w:asciiTheme="majorHAnsi" w:hAnsiTheme="majorHAnsi"/>
        </w:rPr>
        <w:t xml:space="preserve"> detailed within this report is</w:t>
      </w:r>
      <w:r w:rsidRPr="00EE35F4">
        <w:rPr>
          <w:rFonts w:asciiTheme="majorHAnsi" w:hAnsiTheme="majorHAnsi"/>
        </w:rPr>
        <w:t xml:space="preserve"> admittedly ambitious. But they also reflect the fact that CSU has advanced to what Adrianna Kezar calls the “institutionalization” phase of non-tenure-track faculty integration. In this phase, there can be no returning to the way things were, no capacity for pretending that things are going along satisfactorily.  Thus, we want to again point out again that our major consideration in reconfiguring teaching appointments as articulated in this proposal was the essential nature of academic freedom, a non-negotiable element in the “pursuit of excellence in undergraduate and graduate education without which instructors are not free to grade rigorously, discuss controversial issues in the classroom, or exercise their professional judgment in determining the content of their courses without being subjected to retaliation from students, administrators, or pressure from outside forces” (University of Colorado, Boulder Resolution for Instructor Tenure, Appendix G). </w:t>
      </w:r>
    </w:p>
    <w:p w14:paraId="46629517"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Since all forms of scholarship are conducted for the common good, as established by Ernst L. Boyer in </w:t>
      </w:r>
      <w:r w:rsidRPr="00EE35F4">
        <w:rPr>
          <w:rFonts w:asciiTheme="majorHAnsi" w:hAnsiTheme="majorHAnsi"/>
          <w:i/>
        </w:rPr>
        <w:t>Scholarship Reconsidered</w:t>
      </w:r>
      <w:r w:rsidRPr="00EE35F4">
        <w:rPr>
          <w:rFonts w:asciiTheme="majorHAnsi" w:hAnsiTheme="majorHAnsi"/>
        </w:rPr>
        <w:t xml:space="preserve">, and not for purposes of furthering the interests of any individual or institution, the free and open search for truth and knowledge and its untethered exposition is essential to society, as stated in E. 10. 2 of the CSU </w:t>
      </w:r>
      <w:r w:rsidRPr="00EE35F4">
        <w:rPr>
          <w:rFonts w:asciiTheme="majorHAnsi" w:hAnsiTheme="majorHAnsi"/>
          <w:i/>
        </w:rPr>
        <w:t>Faculty and Administrative Professional</w:t>
      </w:r>
      <w:r w:rsidRPr="00EE35F4">
        <w:rPr>
          <w:rFonts w:asciiTheme="majorHAnsi" w:hAnsiTheme="majorHAnsi"/>
        </w:rPr>
        <w:t xml:space="preserve"> </w:t>
      </w:r>
      <w:r w:rsidRPr="00EE35F4">
        <w:rPr>
          <w:rFonts w:asciiTheme="majorHAnsi" w:hAnsiTheme="majorHAnsi"/>
          <w:i/>
        </w:rPr>
        <w:t>Manual</w:t>
      </w:r>
      <w:r w:rsidRPr="00EE35F4">
        <w:rPr>
          <w:rFonts w:asciiTheme="majorHAnsi" w:hAnsiTheme="majorHAnsi"/>
        </w:rPr>
        <w:t>. Faculty who are threatened with the loss of positions, whether overtly or institutionally through the specter of non-renewal, or for voicing unpopular or innovative views, cannot effectively engage in the kind of open deliberation upon which a university is based.</w:t>
      </w:r>
    </w:p>
    <w:p w14:paraId="4EFE780F"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Finally, as the Committee on Non-Tenure-Track Faculty (CoNTTF) has moved over the course of the past several years into being a mature faculty committee, its members wish to call to the attention of those reading this report that the efforts of this committee, the task force that preceded it, and the many departmental and college committees thus directed require a great deal of time and effort, which for NTTF is largely either uncompensated or under-compensated work. Since NTTF typically do not have a significant service component as part of their workload and since, as a committee, we directly address issues of labor that are too often taken for granted, we find that we must now extend the principle of care to ourselves and say that we turn now to you. We have put our best foot forward for well over a decade, and always in good faith and more or less good cheer. We thus believe that we have shown not only commitment but also patience. Yet today we must invoke the words of Chief Justice Warren Burger to say that justice delayed is justice denied. Ten years after the creation of the Provost’s Task Force and two major proposals, several Faculty Council initiatives, and two comprehensive NTTF surveys later, we ask university leadership to commit to a bold plan and to do so quickly. Indeed, just as President Frank said in the fall of 2015 that he was still waiting for a plan that made him gulp, so too do we await a plan from central administration that gives us cause for real optimism. </w:t>
      </w:r>
    </w:p>
    <w:p w14:paraId="1350B616" w14:textId="1DD97178" w:rsidR="005D3DF7" w:rsidRPr="00AC731B" w:rsidRDefault="0039269C" w:rsidP="002D5675">
      <w:pPr>
        <w:pStyle w:val="Heading2"/>
        <w:spacing w:before="480" w:after="120"/>
        <w:rPr>
          <w:rFonts w:asciiTheme="majorHAnsi" w:hAnsiTheme="majorHAnsi"/>
          <w:color w:val="003300"/>
          <w:sz w:val="28"/>
        </w:rPr>
      </w:pPr>
      <w:bookmarkStart w:id="8" w:name="h.1t3h5sf" w:colFirst="0" w:colLast="0"/>
      <w:bookmarkStart w:id="9" w:name="_Toc452993097"/>
      <w:bookmarkEnd w:id="8"/>
      <w:r>
        <w:rPr>
          <w:rFonts w:asciiTheme="majorHAnsi" w:hAnsiTheme="majorHAnsi"/>
          <w:color w:val="003300"/>
          <w:sz w:val="28"/>
        </w:rPr>
        <w:lastRenderedPageBreak/>
        <w:t>Proposed C</w:t>
      </w:r>
      <w:r w:rsidR="005D3DF7" w:rsidRPr="00AC731B">
        <w:rPr>
          <w:rFonts w:asciiTheme="majorHAnsi" w:hAnsiTheme="majorHAnsi"/>
          <w:color w:val="003300"/>
          <w:sz w:val="28"/>
        </w:rPr>
        <w:t>hange</w:t>
      </w:r>
      <w:r>
        <w:rPr>
          <w:rFonts w:asciiTheme="majorHAnsi" w:hAnsiTheme="majorHAnsi"/>
          <w:color w:val="003300"/>
          <w:sz w:val="28"/>
        </w:rPr>
        <w:t>:</w:t>
      </w:r>
      <w:r w:rsidR="005D3DF7" w:rsidRPr="00AC731B">
        <w:rPr>
          <w:rFonts w:asciiTheme="majorHAnsi" w:hAnsiTheme="majorHAnsi"/>
          <w:color w:val="003300"/>
          <w:sz w:val="28"/>
        </w:rPr>
        <w:t xml:space="preserve"> Transforming Current Faculty Appointments off the Tenure Track</w:t>
      </w:r>
      <w:bookmarkEnd w:id="9"/>
    </w:p>
    <w:p w14:paraId="1A662D48" w14:textId="07784A21"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We recommend putting 80% of the non-tenure-track teaching faculty at CSU onto a vested career path with expectations for professional development, centralized funding to departments for these faculty positions, and resources and investments from all levels of the University into this important group of contributors to the mission. This leaves 20% of the non-tenure-track teaching faculty to be defined in two ways: temporary teaching faculty and adjunct teaching faculty. This 20% acknowledges that besides long-term teaching and research faculty off the tenure track, the university also has a need to employ a small number of teaching faculty on a temporary short-term basis to meeting vacillations in enrollment and the need for particular forms of expertise within departments.  We argue that 10% of faculty shall therefore be considered true temporary </w:t>
      </w:r>
      <w:r w:rsidR="00AA2839">
        <w:rPr>
          <w:rFonts w:asciiTheme="majorHAnsi" w:hAnsiTheme="majorHAnsi"/>
        </w:rPr>
        <w:t xml:space="preserve">teaching </w:t>
      </w:r>
      <w:r w:rsidRPr="00EE35F4">
        <w:rPr>
          <w:rFonts w:asciiTheme="majorHAnsi" w:hAnsiTheme="majorHAnsi"/>
        </w:rPr>
        <w:t xml:space="preserve">faculty and that another 10% of the teaching faculty shall be made up of faculty who have specialized skills and knowledge required to teach certain courses. The former 10% shall be called “temporary faculty” and the latter shall be “adjunct faculty.” </w:t>
      </w:r>
    </w:p>
    <w:p w14:paraId="5CE3DAFA" w14:textId="39C9409F" w:rsidR="005D3DF7" w:rsidRPr="0034796D" w:rsidRDefault="0089123D" w:rsidP="002D5675">
      <w:pPr>
        <w:pStyle w:val="Heading4"/>
        <w:spacing w:before="480"/>
        <w:ind w:right="-846"/>
        <w:rPr>
          <w:rFonts w:asciiTheme="majorHAnsi" w:hAnsiTheme="majorHAnsi"/>
          <w:i w:val="0"/>
          <w:color w:val="003300"/>
          <w:sz w:val="28"/>
        </w:rPr>
      </w:pPr>
      <w:r>
        <w:rPr>
          <w:rFonts w:asciiTheme="majorHAnsi" w:hAnsiTheme="majorHAnsi"/>
          <w:i w:val="0"/>
          <w:color w:val="003300"/>
          <w:sz w:val="28"/>
        </w:rPr>
        <w:t xml:space="preserve">Five New Appointment Types for Faculty off </w:t>
      </w:r>
      <w:r w:rsidR="004D0381">
        <w:rPr>
          <w:rFonts w:asciiTheme="majorHAnsi" w:hAnsiTheme="majorHAnsi"/>
          <w:i w:val="0"/>
          <w:color w:val="003300"/>
          <w:sz w:val="28"/>
        </w:rPr>
        <w:t xml:space="preserve">of </w:t>
      </w:r>
      <w:r>
        <w:rPr>
          <w:rFonts w:asciiTheme="majorHAnsi" w:hAnsiTheme="majorHAnsi"/>
          <w:i w:val="0"/>
          <w:color w:val="003300"/>
          <w:sz w:val="28"/>
        </w:rPr>
        <w:t>the Tenure T</w:t>
      </w:r>
      <w:r w:rsidR="005D3DF7" w:rsidRPr="0034796D">
        <w:rPr>
          <w:rFonts w:asciiTheme="majorHAnsi" w:hAnsiTheme="majorHAnsi"/>
          <w:i w:val="0"/>
          <w:color w:val="003300"/>
          <w:sz w:val="28"/>
        </w:rPr>
        <w:t xml:space="preserve">rack </w:t>
      </w:r>
    </w:p>
    <w:p w14:paraId="2C548F06" w14:textId="77777777" w:rsidR="005D3DF7" w:rsidRPr="004D0381" w:rsidRDefault="005D3DF7" w:rsidP="000245DC">
      <w:pPr>
        <w:pStyle w:val="Heading3"/>
        <w:spacing w:before="360"/>
        <w:ind w:left="270" w:hanging="270"/>
        <w:rPr>
          <w:i/>
          <w:color w:val="003300"/>
          <w:sz w:val="26"/>
          <w:szCs w:val="26"/>
        </w:rPr>
      </w:pPr>
      <w:r w:rsidRPr="004D0381">
        <w:rPr>
          <w:i/>
          <w:color w:val="003300"/>
          <w:sz w:val="26"/>
          <w:szCs w:val="26"/>
        </w:rPr>
        <w:t>1. Career Track: Teaching Faculty - car</w:t>
      </w:r>
      <w:r w:rsidR="000B263D" w:rsidRPr="004D0381">
        <w:rPr>
          <w:i/>
          <w:color w:val="003300"/>
          <w:sz w:val="26"/>
          <w:szCs w:val="26"/>
        </w:rPr>
        <w:t>eer path with a vested position, Junior and Senior Levels</w:t>
      </w:r>
    </w:p>
    <w:p w14:paraId="42FFA9BA"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80% of all teaching faculty will be in this group.</w:t>
      </w:r>
    </w:p>
    <w:p w14:paraId="651F2886"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The objective of this track will be to put an end to contingency through the development of a new faculty career path focusing on teaching. Career track teaching faculty progress from junior teaching faculty, much like the probationary status of untenured faculty on the tenure track, to senior teaching faculty based on evaluations of performance over a limited number of years and a final review prior to the granting of senior status. The transition from junior to senior reflects a commitment by the university, similar to the granting of tenure, which in this case is manifested in particular contract status. The transition from junior to senior also reflects the demonstration of sustained high performance by the faculty member. </w:t>
      </w:r>
    </w:p>
    <w:p w14:paraId="7762825B" w14:textId="3FA2B766"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The career path for teaching faculty appointments and its specifications along with the expectations and responsibilities of the position will be stipulated in an official offer letter at the commencement of the appointment (true for new hires and current faculty who are converted). Teaching faculty appointments will be defined as equal to or greater than 50% FTE with the typical expectation that these faculty positions will be full-time yet with some degree of flexibility in this regard as determined by units, colleges, and central </w:t>
      </w:r>
      <w:r w:rsidR="00905B2C" w:rsidRPr="00EE35F4">
        <w:rPr>
          <w:rFonts w:asciiTheme="majorHAnsi" w:hAnsiTheme="majorHAnsi"/>
        </w:rPr>
        <w:t>administration’s programmatic</w:t>
      </w:r>
      <w:r w:rsidRPr="00EE35F4">
        <w:rPr>
          <w:rFonts w:asciiTheme="majorHAnsi" w:hAnsiTheme="majorHAnsi"/>
        </w:rPr>
        <w:t xml:space="preserve"> needs; therefore, teaching faculty appointments are funded and tracked like tenure-track faculty positions. Teaching faculty are also long-term contributors to the university and participants in the community, and so workload distributions for teaching faculty will include at least 5% service.</w:t>
      </w:r>
    </w:p>
    <w:p w14:paraId="192FC98F"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Career-track faculty shall carry academic rank. Junior teaching faculty may be ranked as instructor or assistant professor. Senior teaching faculty may be ranked as instructor, assistant, associate, or full professor. Rank promotion for teaching faculty with a career track appointment shall progress via a clear and defined rank promotion process as indicated by the Provost’s website. The documentation for promotion application will be a </w:t>
      </w:r>
      <w:r w:rsidRPr="00EE35F4">
        <w:rPr>
          <w:rFonts w:asciiTheme="majorHAnsi" w:hAnsiTheme="majorHAnsi"/>
          <w:i/>
        </w:rPr>
        <w:t xml:space="preserve">separate </w:t>
      </w:r>
      <w:r w:rsidRPr="00EE35F4">
        <w:rPr>
          <w:rFonts w:asciiTheme="majorHAnsi" w:hAnsiTheme="majorHAnsi"/>
        </w:rPr>
        <w:t xml:space="preserve">documentation application for faculty off of the tenure track who are pursuing a promotion in rank, or for career track teaching faculty a change from junior to senior status, but are not eligible for tenure. As a result, the documentation for promotion application for faculty off of </w:t>
      </w:r>
      <w:r w:rsidRPr="00EE35F4">
        <w:rPr>
          <w:rFonts w:asciiTheme="majorHAnsi" w:hAnsiTheme="majorHAnsi"/>
        </w:rPr>
        <w:lastRenderedPageBreak/>
        <w:t xml:space="preserve">the tenure track will not include tenure verbiage and will be appropriate for faculty off of the tenure track. There will be a promotion dossier for those off the tenure-track who are seeking promotion to new rank.  </w:t>
      </w:r>
    </w:p>
    <w:p w14:paraId="59542706"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Key tenants for teaching faculty:</w:t>
      </w:r>
    </w:p>
    <w:p w14:paraId="0C69F43D" w14:textId="46D61B71" w:rsidR="005D3DF7" w:rsidRPr="00EE35F4" w:rsidRDefault="005D3DF7" w:rsidP="00B55FC2">
      <w:pPr>
        <w:numPr>
          <w:ilvl w:val="0"/>
          <w:numId w:val="37"/>
        </w:numPr>
        <w:spacing w:before="240" w:after="120"/>
        <w:ind w:hanging="360"/>
        <w:rPr>
          <w:rFonts w:asciiTheme="majorHAnsi" w:hAnsiTheme="majorHAnsi"/>
        </w:rPr>
      </w:pPr>
      <w:r w:rsidRPr="00EE35F4">
        <w:rPr>
          <w:rFonts w:asciiTheme="majorHAnsi" w:hAnsiTheme="majorHAnsi"/>
        </w:rPr>
        <w:t>Career track teaching faculty are all faculty off of the tenure track who have a workload appointment of 50-95% teaching, with 5-30% service, and 0-20% research/creative activity. In cases where current faculty being converted are close to these percentages (i.e., 100% teaching, 0% service), all efforts will be made to align workload distributions to comply with expectations for the teaching faculty appointment. At a minimum, any career-track teaching faculty’s workload distribution, whether a new hire or a converted current faculty member, would be 95% teaching and 5% service.</w:t>
      </w:r>
      <w:r w:rsidR="002D5675" w:rsidRPr="00EE35F4">
        <w:rPr>
          <w:rFonts w:asciiTheme="majorHAnsi" w:hAnsiTheme="majorHAnsi"/>
        </w:rPr>
        <w:t xml:space="preserve"> There may be cases where current faculty’s effort distributions will not match this new appointment type precisely and therefore all current faculty </w:t>
      </w:r>
      <w:r w:rsidR="00CB65FE">
        <w:rPr>
          <w:rFonts w:asciiTheme="majorHAnsi" w:hAnsiTheme="majorHAnsi"/>
        </w:rPr>
        <w:t>holding</w:t>
      </w:r>
      <w:r w:rsidR="002D5675" w:rsidRPr="00EE35F4">
        <w:rPr>
          <w:rFonts w:asciiTheme="majorHAnsi" w:hAnsiTheme="majorHAnsi"/>
        </w:rPr>
        <w:t xml:space="preserve"> “senior teaching” appointments will be grandfathered into to the new career track appointment without changing the effort distribution. However, all new hires after the adoption of the Career-track faculty appointment shall have effort distributions that fit the new requirements. </w:t>
      </w:r>
    </w:p>
    <w:p w14:paraId="57CB8094" w14:textId="77777777" w:rsidR="005D3DF7" w:rsidRPr="00EE35F4" w:rsidRDefault="005D3DF7" w:rsidP="00B55FC2">
      <w:pPr>
        <w:numPr>
          <w:ilvl w:val="0"/>
          <w:numId w:val="37"/>
        </w:numPr>
        <w:spacing w:before="240" w:after="120"/>
        <w:ind w:hanging="360"/>
        <w:rPr>
          <w:rFonts w:asciiTheme="majorHAnsi" w:hAnsiTheme="majorHAnsi"/>
        </w:rPr>
      </w:pPr>
      <w:r w:rsidRPr="00EE35F4">
        <w:rPr>
          <w:rFonts w:asciiTheme="majorHAnsi" w:hAnsiTheme="majorHAnsi"/>
        </w:rPr>
        <w:t>New career track teaching faculty must be hired via a faculty search through the University OEO sanctioned hiring process. (This does not apply to current faculty who will be converted to these positions based on their current job specifications).</w:t>
      </w:r>
    </w:p>
    <w:p w14:paraId="3510A55A" w14:textId="68CC93F3" w:rsidR="005D3DF7" w:rsidRPr="00EE35F4" w:rsidRDefault="005D3DF7" w:rsidP="00B55FC2">
      <w:pPr>
        <w:numPr>
          <w:ilvl w:val="0"/>
          <w:numId w:val="37"/>
        </w:numPr>
        <w:spacing w:before="240" w:after="120"/>
        <w:ind w:hanging="360"/>
        <w:rPr>
          <w:rFonts w:asciiTheme="majorHAnsi" w:hAnsiTheme="majorHAnsi"/>
        </w:rPr>
      </w:pPr>
      <w:r w:rsidRPr="00EE35F4">
        <w:rPr>
          <w:rFonts w:asciiTheme="majorHAnsi" w:hAnsiTheme="majorHAnsi"/>
        </w:rPr>
        <w:t xml:space="preserve">Career track teaching faculty positions will be funded centrally and specified </w:t>
      </w:r>
      <w:r w:rsidR="001A4536" w:rsidRPr="00EE35F4">
        <w:rPr>
          <w:rFonts w:asciiTheme="majorHAnsi" w:hAnsiTheme="majorHAnsi"/>
        </w:rPr>
        <w:t>in the General and Education</w:t>
      </w:r>
      <w:r w:rsidRPr="00EE35F4">
        <w:rPr>
          <w:rFonts w:asciiTheme="majorHAnsi" w:hAnsiTheme="majorHAnsi"/>
        </w:rPr>
        <w:t xml:space="preserve"> budget </w:t>
      </w:r>
      <w:r w:rsidR="00A94EC4">
        <w:rPr>
          <w:rFonts w:asciiTheme="majorHAnsi" w:hAnsiTheme="majorHAnsi"/>
        </w:rPr>
        <w:t>just as allocations are made for faculty on the tenure track</w:t>
      </w:r>
      <w:r w:rsidRPr="00EE35F4">
        <w:rPr>
          <w:rFonts w:asciiTheme="majorHAnsi" w:hAnsiTheme="majorHAnsi"/>
        </w:rPr>
        <w:t>.</w:t>
      </w:r>
      <w:r w:rsidR="00A94EC4">
        <w:rPr>
          <w:rFonts w:asciiTheme="majorHAnsi" w:hAnsiTheme="majorHAnsi"/>
        </w:rPr>
        <w:t xml:space="preserve"> Depts/Units will not be responsible for “finding” the money to hire career-track teaching faculty.</w:t>
      </w:r>
    </w:p>
    <w:p w14:paraId="5AA443A3" w14:textId="77777777" w:rsidR="005D3DF7" w:rsidRPr="00EE35F4" w:rsidRDefault="005D3DF7" w:rsidP="00B55FC2">
      <w:pPr>
        <w:numPr>
          <w:ilvl w:val="0"/>
          <w:numId w:val="37"/>
        </w:numPr>
        <w:spacing w:before="240" w:after="120"/>
        <w:ind w:hanging="360"/>
        <w:rPr>
          <w:rFonts w:asciiTheme="majorHAnsi" w:hAnsiTheme="majorHAnsi"/>
        </w:rPr>
      </w:pPr>
      <w:r w:rsidRPr="00EE35F4">
        <w:rPr>
          <w:rFonts w:asciiTheme="majorHAnsi" w:hAnsiTheme="majorHAnsi"/>
        </w:rPr>
        <w:t xml:space="preserve">Career track teaching faculty positions must be evaluated every year during the probationary period by a designated committee, which shall be a variation of the department’s promotion and tenure (P&amp;T) committee and including the chair of the P&amp;T committee, a representative of tenured faculty, and a representative body of the senior teaching faculty. This committee will make the annual recommendation on each candidate’s progress on the career track toward the Senior Teaching Faculty status. Senior Teaching Faculty shall be reviewed by this committee every three years after senior status is granted, in a process parallel to Post-Tenure Review. </w:t>
      </w:r>
    </w:p>
    <w:p w14:paraId="6AC3AB2A" w14:textId="77777777" w:rsidR="005D3DF7" w:rsidRPr="00EE35F4" w:rsidRDefault="005D3DF7" w:rsidP="00B55FC2">
      <w:pPr>
        <w:numPr>
          <w:ilvl w:val="0"/>
          <w:numId w:val="37"/>
        </w:numPr>
        <w:spacing w:before="240" w:after="120"/>
        <w:ind w:hanging="360"/>
        <w:rPr>
          <w:rFonts w:asciiTheme="majorHAnsi" w:hAnsiTheme="majorHAnsi"/>
        </w:rPr>
      </w:pPr>
      <w:r w:rsidRPr="00EE35F4">
        <w:rPr>
          <w:rFonts w:asciiTheme="majorHAnsi" w:hAnsiTheme="majorHAnsi"/>
        </w:rPr>
        <w:t xml:space="preserve">Career track faculty shall hold ranks from instructor to full professor and are eligible for promotion in rank. </w:t>
      </w:r>
    </w:p>
    <w:p w14:paraId="5C894EEA" w14:textId="77777777" w:rsidR="00A94EC4" w:rsidRDefault="005D3DF7" w:rsidP="00A94EC4">
      <w:pPr>
        <w:numPr>
          <w:ilvl w:val="0"/>
          <w:numId w:val="37"/>
        </w:numPr>
        <w:spacing w:before="240" w:after="120"/>
        <w:ind w:hanging="360"/>
        <w:rPr>
          <w:rFonts w:asciiTheme="majorHAnsi" w:hAnsiTheme="majorHAnsi"/>
        </w:rPr>
      </w:pPr>
      <w:r w:rsidRPr="00EE35F4">
        <w:rPr>
          <w:rFonts w:asciiTheme="majorHAnsi" w:hAnsiTheme="majorHAnsi"/>
        </w:rPr>
        <w:t xml:space="preserve">Courtesy and recruiting appointments, including spousal hires shall be possible in this category. For purposes of recruitment, it will be possible to bring in a new career track teaching faculty member with an appointment of senior teaching faculty and at any rank consistent with the candidate’s qualifications. </w:t>
      </w:r>
    </w:p>
    <w:p w14:paraId="03D44FE7" w14:textId="5F4521A7" w:rsidR="00A94EC4" w:rsidRPr="00A94EC4" w:rsidRDefault="00A94EC4" w:rsidP="00884789">
      <w:pPr>
        <w:numPr>
          <w:ilvl w:val="0"/>
          <w:numId w:val="37"/>
        </w:numPr>
        <w:spacing w:before="240" w:after="120"/>
        <w:ind w:hanging="360"/>
        <w:rPr>
          <w:rFonts w:asciiTheme="majorHAnsi" w:hAnsiTheme="majorHAnsi"/>
        </w:rPr>
      </w:pPr>
      <w:r>
        <w:rPr>
          <w:rFonts w:asciiTheme="majorHAnsi" w:hAnsiTheme="majorHAnsi"/>
        </w:rPr>
        <w:t>A</w:t>
      </w:r>
      <w:r w:rsidRPr="00A94EC4">
        <w:rPr>
          <w:rFonts w:asciiTheme="majorHAnsi" w:hAnsiTheme="majorHAnsi"/>
        </w:rPr>
        <w:t>ll contracts are bi-directional</w:t>
      </w:r>
      <w:r>
        <w:rPr>
          <w:rFonts w:asciiTheme="majorHAnsi" w:hAnsiTheme="majorHAnsi"/>
        </w:rPr>
        <w:t xml:space="preserve"> – in this way, the use of multi-year contracts will honor the need for faculty off of the tenure track to secure academic freedom and the need for the University to ensure that qualified faculty carry out the mission of the University - </w:t>
      </w:r>
      <w:r w:rsidRPr="00A94EC4">
        <w:rPr>
          <w:rFonts w:asciiTheme="majorHAnsi" w:hAnsiTheme="majorHAnsi"/>
        </w:rPr>
        <w:t>“i</w:t>
      </w:r>
      <w:r w:rsidRPr="00A94EC4">
        <w:rPr>
          <w:rStyle w:val="e2ma-style"/>
          <w:rFonts w:asciiTheme="majorHAnsi" w:hAnsiTheme="majorHAnsi"/>
        </w:rPr>
        <w:t>n any contract, the good will of the parties is a far more significant factor than the letter of the agreement</w:t>
      </w:r>
      <w:r>
        <w:rPr>
          <w:rStyle w:val="e2ma-style"/>
          <w:rFonts w:asciiTheme="majorHAnsi" w:hAnsiTheme="majorHAnsi"/>
        </w:rPr>
        <w:t>”</w:t>
      </w:r>
      <w:r w:rsidRPr="00A94EC4">
        <w:rPr>
          <w:rStyle w:val="e2ma-style"/>
          <w:rFonts w:asciiTheme="majorHAnsi" w:hAnsiTheme="majorHAnsi"/>
        </w:rPr>
        <w:t xml:space="preserve"> (Alan Cohen</w:t>
      </w:r>
      <w:r>
        <w:rPr>
          <w:rStyle w:val="e2ma-style"/>
          <w:rFonts w:asciiTheme="majorHAnsi" w:hAnsiTheme="majorHAnsi"/>
        </w:rPr>
        <w:t xml:space="preserve">). </w:t>
      </w:r>
    </w:p>
    <w:p w14:paraId="29B05EBC" w14:textId="77777777" w:rsidR="005D3DF7" w:rsidRPr="004D0381" w:rsidRDefault="005D3DF7" w:rsidP="005D3DF7">
      <w:pPr>
        <w:pStyle w:val="Heading6"/>
        <w:spacing w:before="240" w:after="120"/>
        <w:ind w:left="360"/>
        <w:rPr>
          <w:rFonts w:asciiTheme="majorHAnsi" w:hAnsiTheme="majorHAnsi"/>
          <w:color w:val="003300"/>
          <w:sz w:val="26"/>
          <w:szCs w:val="26"/>
        </w:rPr>
      </w:pPr>
      <w:r w:rsidRPr="004D0381">
        <w:rPr>
          <w:rFonts w:asciiTheme="majorHAnsi" w:hAnsiTheme="majorHAnsi"/>
          <w:color w:val="003300"/>
          <w:sz w:val="26"/>
          <w:szCs w:val="26"/>
        </w:rPr>
        <w:lastRenderedPageBreak/>
        <w:t>Junior Teaching Faculty – a preliminary teaching faculty appointment</w:t>
      </w:r>
    </w:p>
    <w:p w14:paraId="6E2F155B" w14:textId="77777777" w:rsidR="005D3DF7" w:rsidRPr="00EE35F4" w:rsidRDefault="005D3DF7" w:rsidP="005D3DF7">
      <w:pPr>
        <w:numPr>
          <w:ilvl w:val="0"/>
          <w:numId w:val="9"/>
        </w:numPr>
        <w:spacing w:before="240" w:after="120"/>
        <w:ind w:left="1080" w:hanging="360"/>
        <w:rPr>
          <w:rFonts w:asciiTheme="majorHAnsi" w:hAnsiTheme="majorHAnsi"/>
        </w:rPr>
      </w:pPr>
      <w:r w:rsidRPr="00EE35F4">
        <w:rPr>
          <w:rFonts w:asciiTheme="majorHAnsi" w:hAnsiTheme="majorHAnsi"/>
        </w:rPr>
        <w:t>The Junior Teaching Faculty appointment is a probationary status on track for the Senior Teaching Faculty appointment designation. During probation, Junior Teaching Faculty will have open-ended offer letters.</w:t>
      </w:r>
    </w:p>
    <w:p w14:paraId="1F5333B4" w14:textId="4B70104D" w:rsidR="005D3DF7" w:rsidRPr="00EE35F4" w:rsidRDefault="005D3DF7" w:rsidP="005D3DF7">
      <w:pPr>
        <w:numPr>
          <w:ilvl w:val="0"/>
          <w:numId w:val="9"/>
        </w:numPr>
        <w:spacing w:before="240" w:after="120"/>
        <w:ind w:left="1080" w:hanging="360"/>
        <w:rPr>
          <w:rFonts w:asciiTheme="majorHAnsi" w:hAnsiTheme="majorHAnsi"/>
        </w:rPr>
      </w:pPr>
      <w:r w:rsidRPr="00EE35F4">
        <w:rPr>
          <w:rFonts w:asciiTheme="majorHAnsi" w:hAnsiTheme="majorHAnsi"/>
        </w:rPr>
        <w:t xml:space="preserve"> Junior Teaching Faculty are reviewed annually by the Teaching Faculty Evaluation Committee to confirm appointment renewal. Refusal of the department head to follow the recommendation of this committee will be grievable through </w:t>
      </w:r>
      <w:r w:rsidR="009E7877" w:rsidRPr="00EE35F4">
        <w:rPr>
          <w:rFonts w:asciiTheme="majorHAnsi" w:hAnsiTheme="majorHAnsi"/>
        </w:rPr>
        <w:t xml:space="preserve">a revised </w:t>
      </w:r>
      <w:r w:rsidRPr="00EE35F4">
        <w:rPr>
          <w:rFonts w:asciiTheme="majorHAnsi" w:hAnsiTheme="majorHAnsi"/>
        </w:rPr>
        <w:t xml:space="preserve">Section K of the </w:t>
      </w:r>
      <w:r w:rsidRPr="00EE35F4">
        <w:rPr>
          <w:rFonts w:asciiTheme="majorHAnsi" w:hAnsiTheme="majorHAnsi"/>
          <w:i/>
        </w:rPr>
        <w:t>Manual</w:t>
      </w:r>
      <w:r w:rsidRPr="00EE35F4">
        <w:rPr>
          <w:rFonts w:asciiTheme="majorHAnsi" w:hAnsiTheme="majorHAnsi"/>
        </w:rPr>
        <w:t>.</w:t>
      </w:r>
    </w:p>
    <w:p w14:paraId="55F34CBE" w14:textId="77777777" w:rsidR="005D3DF7" w:rsidRPr="00EE35F4" w:rsidRDefault="005D3DF7" w:rsidP="005D3DF7">
      <w:pPr>
        <w:numPr>
          <w:ilvl w:val="0"/>
          <w:numId w:val="9"/>
        </w:numPr>
        <w:spacing w:before="240" w:after="120"/>
        <w:ind w:left="1080" w:hanging="360"/>
        <w:rPr>
          <w:rFonts w:asciiTheme="majorHAnsi" w:hAnsiTheme="majorHAnsi"/>
        </w:rPr>
      </w:pPr>
      <w:r w:rsidRPr="00EE35F4">
        <w:rPr>
          <w:rFonts w:asciiTheme="majorHAnsi" w:hAnsiTheme="majorHAnsi"/>
        </w:rPr>
        <w:t xml:space="preserve">Junior Teaching Faculty shall also participate in annual reviews with unit chairs/heads, the annual salary exercise, and University benefits and privileges as defined currently in the </w:t>
      </w:r>
      <w:r w:rsidRPr="00EE35F4">
        <w:rPr>
          <w:rFonts w:asciiTheme="majorHAnsi" w:hAnsiTheme="majorHAnsi"/>
          <w:i/>
        </w:rPr>
        <w:t>Manual</w:t>
      </w:r>
      <w:r w:rsidRPr="00EE35F4">
        <w:rPr>
          <w:rFonts w:asciiTheme="majorHAnsi" w:hAnsiTheme="majorHAnsi"/>
        </w:rPr>
        <w:t xml:space="preserve">, the same as faculty with tenured and tenure-track teaching appointments. </w:t>
      </w:r>
    </w:p>
    <w:p w14:paraId="71D3F262" w14:textId="3245E965" w:rsidR="005D3DF7" w:rsidRPr="00EE35F4" w:rsidRDefault="005D3DF7" w:rsidP="0041061A">
      <w:pPr>
        <w:numPr>
          <w:ilvl w:val="0"/>
          <w:numId w:val="9"/>
        </w:numPr>
        <w:spacing w:before="240" w:after="120"/>
        <w:ind w:left="1080" w:hanging="360"/>
        <w:rPr>
          <w:rFonts w:asciiTheme="majorHAnsi" w:hAnsiTheme="majorHAnsi"/>
        </w:rPr>
      </w:pPr>
      <w:r w:rsidRPr="00EE35F4">
        <w:rPr>
          <w:rFonts w:asciiTheme="majorHAnsi" w:hAnsiTheme="majorHAnsi"/>
        </w:rPr>
        <w:t xml:space="preserve">Junior Teaching Faculty may be appointed on probation </w:t>
      </w:r>
      <w:r w:rsidRPr="00EE35F4">
        <w:rPr>
          <w:rFonts w:asciiTheme="majorHAnsi" w:hAnsiTheme="majorHAnsi"/>
          <w:b/>
        </w:rPr>
        <w:t xml:space="preserve">for a maximum of </w:t>
      </w:r>
      <w:r w:rsidR="002D5675" w:rsidRPr="00EE35F4">
        <w:rPr>
          <w:rFonts w:asciiTheme="majorHAnsi" w:hAnsiTheme="majorHAnsi"/>
          <w:b/>
        </w:rPr>
        <w:t>three</w:t>
      </w:r>
      <w:r w:rsidRPr="00EE35F4">
        <w:rPr>
          <w:rFonts w:asciiTheme="majorHAnsi" w:hAnsiTheme="majorHAnsi"/>
          <w:b/>
        </w:rPr>
        <w:t xml:space="preserve"> years</w:t>
      </w:r>
      <w:r w:rsidRPr="00EE35F4">
        <w:rPr>
          <w:rFonts w:asciiTheme="majorHAnsi" w:hAnsiTheme="majorHAnsi"/>
        </w:rPr>
        <w:t xml:space="preserve">, followed by rolling and renewable multi-year contracts until reaching eligibility for the Senior Teaching Faculty appointment. </w:t>
      </w:r>
      <w:r w:rsidR="002D5675" w:rsidRPr="00EE35F4">
        <w:rPr>
          <w:rFonts w:asciiTheme="majorHAnsi" w:hAnsiTheme="majorHAnsi"/>
        </w:rPr>
        <w:t>In this way, a</w:t>
      </w:r>
      <w:r w:rsidRPr="00EE35F4">
        <w:rPr>
          <w:rFonts w:asciiTheme="majorHAnsi" w:hAnsiTheme="majorHAnsi"/>
        </w:rPr>
        <w:t xml:space="preserve">fter three years (six consecutive semesters), Junior Teaching Faculty will be reviewed by an appropriate evaluation committee for transition to Senior Teaching Faculty. This review will be prompted by a teaching progression application constructed by the candidate. </w:t>
      </w:r>
    </w:p>
    <w:p w14:paraId="6B067FE0" w14:textId="77777777" w:rsidR="005D3DF7" w:rsidRPr="004D0381" w:rsidRDefault="005D3DF7" w:rsidP="005D3DF7">
      <w:pPr>
        <w:pStyle w:val="Heading6"/>
        <w:spacing w:before="240" w:after="120"/>
        <w:ind w:left="360"/>
        <w:rPr>
          <w:rFonts w:asciiTheme="majorHAnsi" w:hAnsiTheme="majorHAnsi"/>
          <w:color w:val="003300"/>
          <w:sz w:val="26"/>
          <w:szCs w:val="26"/>
        </w:rPr>
      </w:pPr>
      <w:r w:rsidRPr="004D0381">
        <w:rPr>
          <w:rFonts w:asciiTheme="majorHAnsi" w:hAnsiTheme="majorHAnsi"/>
          <w:color w:val="003300"/>
          <w:sz w:val="26"/>
          <w:szCs w:val="26"/>
        </w:rPr>
        <w:t>Senior Teaching Faculty – a culminating teaching faculty appointment</w:t>
      </w:r>
    </w:p>
    <w:p w14:paraId="7364B254" w14:textId="77777777" w:rsidR="005D3DF7" w:rsidRPr="00EE35F4" w:rsidRDefault="005D3DF7" w:rsidP="00B55FC2">
      <w:pPr>
        <w:numPr>
          <w:ilvl w:val="0"/>
          <w:numId w:val="50"/>
        </w:numPr>
        <w:spacing w:before="240" w:after="120"/>
        <w:ind w:left="1080" w:hanging="360"/>
        <w:rPr>
          <w:rFonts w:asciiTheme="majorHAnsi" w:hAnsiTheme="majorHAnsi"/>
        </w:rPr>
      </w:pPr>
      <w:r w:rsidRPr="00EE35F4">
        <w:rPr>
          <w:rFonts w:asciiTheme="majorHAnsi" w:hAnsiTheme="majorHAnsi"/>
        </w:rPr>
        <w:t>Senior teaching faculty will be appointed with rolling and renewing multi-year contracts, as this is the only means besides tenure that faculty have for secure positions. Full protection of academic freedom by way of access to due process/grievance will be assured through changes to the Faculty Manual that currently do not allow for grievance of termination for faculty off the tenure-track. Multi-year contracts are to be understood as legally binding arrangements and must not be confused with the open ended offer letter currently given to some faculty; an open-ended offer letter means the faculty member is “at will.” Senior teaching faculty will not hold “at will” status.</w:t>
      </w:r>
    </w:p>
    <w:p w14:paraId="791A2764" w14:textId="77777777" w:rsidR="005D3DF7" w:rsidRPr="00EE35F4" w:rsidRDefault="005D3DF7" w:rsidP="00B55FC2">
      <w:pPr>
        <w:numPr>
          <w:ilvl w:val="0"/>
          <w:numId w:val="50"/>
        </w:numPr>
        <w:spacing w:before="240" w:after="120"/>
        <w:ind w:left="1080" w:hanging="360"/>
        <w:rPr>
          <w:rFonts w:asciiTheme="majorHAnsi" w:hAnsiTheme="majorHAnsi"/>
        </w:rPr>
      </w:pPr>
      <w:r w:rsidRPr="00EE35F4">
        <w:rPr>
          <w:rFonts w:asciiTheme="majorHAnsi" w:hAnsiTheme="majorHAnsi"/>
        </w:rPr>
        <w:t xml:space="preserve">Senior teaching faculty shall participate in annual reviews, the annual salary exercise, and University benefits and privileges as defined in the </w:t>
      </w:r>
      <w:r w:rsidRPr="00EE35F4">
        <w:rPr>
          <w:rFonts w:asciiTheme="majorHAnsi" w:hAnsiTheme="majorHAnsi"/>
          <w:i/>
        </w:rPr>
        <w:t>Faculty Manual</w:t>
      </w:r>
      <w:r w:rsidRPr="00EE35F4">
        <w:rPr>
          <w:rFonts w:asciiTheme="majorHAnsi" w:hAnsiTheme="majorHAnsi"/>
        </w:rPr>
        <w:t xml:space="preserve"> and the same as faculty with regular and probationary tenure-track faculty appointments. Every annual evaluation must indicate progress toward goals set when the contract was put into place; statements of progress-toward-promotion will serve as documentation justifying renewal and rolling into the next multi-year contract. These annual reports will be considered by the Teaching Faculty Evaluation Committee in the last year of the contract. </w:t>
      </w:r>
    </w:p>
    <w:p w14:paraId="7B66104D" w14:textId="52E2B58F" w:rsidR="005D3DF7" w:rsidRPr="00EE35F4" w:rsidRDefault="005D3DF7" w:rsidP="00B55FC2">
      <w:pPr>
        <w:numPr>
          <w:ilvl w:val="0"/>
          <w:numId w:val="50"/>
        </w:numPr>
        <w:spacing w:before="240" w:after="120"/>
        <w:ind w:left="1080" w:hanging="360"/>
        <w:rPr>
          <w:rFonts w:asciiTheme="majorHAnsi" w:hAnsiTheme="majorHAnsi"/>
        </w:rPr>
      </w:pPr>
      <w:r w:rsidRPr="00EE35F4">
        <w:rPr>
          <w:rFonts w:asciiTheme="majorHAnsi" w:hAnsiTheme="majorHAnsi"/>
        </w:rPr>
        <w:t>In the last year of a multi-year contract, senior teaching faculty will be reviewed by the department’s Teaching Faculty Evaluation Committee to confirm contract renewal. The determination of renewal shall occur before March 1 of the year each multi-year contract ends. Refusal of the department head to follow the recommendation of th</w:t>
      </w:r>
      <w:r w:rsidR="0041061A" w:rsidRPr="00EE35F4">
        <w:rPr>
          <w:rFonts w:asciiTheme="majorHAnsi" w:hAnsiTheme="majorHAnsi"/>
        </w:rPr>
        <w:t>is committee will be grievable under a revised</w:t>
      </w:r>
      <w:r w:rsidRPr="00EE35F4">
        <w:rPr>
          <w:rFonts w:asciiTheme="majorHAnsi" w:hAnsiTheme="majorHAnsi"/>
        </w:rPr>
        <w:t xml:space="preserve"> Section K. </w:t>
      </w:r>
    </w:p>
    <w:p w14:paraId="42F2146E" w14:textId="77777777" w:rsidR="00A94EC4" w:rsidRDefault="005D3DF7" w:rsidP="00A94EC4">
      <w:pPr>
        <w:numPr>
          <w:ilvl w:val="0"/>
          <w:numId w:val="36"/>
        </w:numPr>
        <w:spacing w:before="240" w:after="120"/>
        <w:ind w:left="1080" w:hanging="360"/>
        <w:rPr>
          <w:rFonts w:asciiTheme="majorHAnsi" w:hAnsiTheme="majorHAnsi"/>
        </w:rPr>
      </w:pPr>
      <w:r w:rsidRPr="00EE35F4">
        <w:rPr>
          <w:rFonts w:asciiTheme="majorHAnsi" w:hAnsiTheme="majorHAnsi"/>
        </w:rPr>
        <w:t xml:space="preserve">The default expectation for the multi-year contracts will be that they are renewed, unless there is just cause, as determined by a clear and systematic procedure that requires involvement from multiple levels of administration ranging from the department’s Teaching Faculty Evaluation committee to the Provost’s office to </w:t>
      </w:r>
      <w:r w:rsidRPr="00EE35F4">
        <w:rPr>
          <w:rFonts w:asciiTheme="majorHAnsi" w:hAnsiTheme="majorHAnsi"/>
        </w:rPr>
        <w:lastRenderedPageBreak/>
        <w:t>ensure consistency and accountability. In addition, guaranteed and real grievance procedures, like those in place for tenure-line faculty, will be implemented alongside promotional pathways with consistent and clear oversight in the form of systematic evaluations using criteria agreed upon by shared governance. All of these measures will ensure that individuals off the tenure track are not subjected to arbitrary processes in individual departments and colleges and are provided with opportunities for professional development for the betterment of the University.</w:t>
      </w:r>
    </w:p>
    <w:p w14:paraId="2C164D6E" w14:textId="04BC87F4" w:rsidR="00A94EC4" w:rsidRPr="00A94EC4" w:rsidRDefault="00A94EC4" w:rsidP="00A94EC4">
      <w:pPr>
        <w:numPr>
          <w:ilvl w:val="0"/>
          <w:numId w:val="36"/>
        </w:numPr>
        <w:spacing w:before="240" w:after="120"/>
        <w:ind w:left="1080" w:hanging="360"/>
        <w:rPr>
          <w:rFonts w:asciiTheme="majorHAnsi" w:hAnsiTheme="majorHAnsi"/>
        </w:rPr>
      </w:pPr>
      <w:r w:rsidRPr="00A94EC4">
        <w:rPr>
          <w:rFonts w:asciiTheme="majorHAnsi" w:hAnsiTheme="majorHAnsi"/>
        </w:rPr>
        <w:t>Multi-year contracts will be mandated for senior teaching faculty as a way to ensure academic freedom and provide security in their positions as faculty contributing to the scholarly mission of the University. And, as all contracts are bi-directional, “i</w:t>
      </w:r>
      <w:r w:rsidRPr="00A94EC4">
        <w:rPr>
          <w:rStyle w:val="e2ma-style"/>
          <w:rFonts w:asciiTheme="majorHAnsi" w:hAnsiTheme="majorHAnsi"/>
        </w:rPr>
        <w:t xml:space="preserve">n any contract, the good will of the parties is a far more significant factor than the letter of the agreement” (Alan Cohen). It will be expected that senior teaching fulfill their end of the contract as well. Senior teaching faculty may not break the contract to leave their position, just as the University may not break the contract to hire a new person for the position. </w:t>
      </w:r>
    </w:p>
    <w:p w14:paraId="416FA47F" w14:textId="77777777" w:rsidR="005D3DF7" w:rsidRPr="004D0381" w:rsidRDefault="005D3DF7" w:rsidP="00F96528">
      <w:pPr>
        <w:pStyle w:val="Heading3"/>
        <w:spacing w:before="360"/>
        <w:rPr>
          <w:color w:val="003300"/>
          <w:sz w:val="26"/>
          <w:szCs w:val="26"/>
        </w:rPr>
      </w:pPr>
      <w:r w:rsidRPr="004D0381">
        <w:rPr>
          <w:color w:val="003300"/>
          <w:sz w:val="26"/>
          <w:szCs w:val="26"/>
        </w:rPr>
        <w:t>2. Adjunct Teaching Faculty:</w:t>
      </w:r>
    </w:p>
    <w:p w14:paraId="73066C28"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Not more than 10% of all teaching faculty will be in this group.</w:t>
      </w:r>
    </w:p>
    <w:p w14:paraId="58703A6F" w14:textId="0A094EA9"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Faculty off of the tenure track who teach 10-49% FTE at the University as a part-time appointment will be classified as adjunct teaching faculty. Adjunct teaching faculty are those whose expertise </w:t>
      </w:r>
      <w:r w:rsidR="00A67279">
        <w:rPr>
          <w:rFonts w:asciiTheme="majorHAnsi" w:hAnsiTheme="majorHAnsi"/>
        </w:rPr>
        <w:t>is</w:t>
      </w:r>
      <w:r w:rsidRPr="00EE35F4">
        <w:rPr>
          <w:rFonts w:asciiTheme="majorHAnsi" w:hAnsiTheme="majorHAnsi"/>
        </w:rPr>
        <w:t xml:space="preserve"> desired and required by the University to fulfill specialized academic and curricular needs of a unit, when this expertise cannot be found within the home department. </w:t>
      </w:r>
    </w:p>
    <w:p w14:paraId="647E908F" w14:textId="77777777" w:rsidR="005D3DF7" w:rsidRPr="00EE35F4" w:rsidRDefault="005D3DF7" w:rsidP="00B55FC2">
      <w:pPr>
        <w:numPr>
          <w:ilvl w:val="0"/>
          <w:numId w:val="17"/>
        </w:numPr>
        <w:spacing w:before="240" w:after="120"/>
        <w:ind w:left="720" w:hanging="360"/>
        <w:rPr>
          <w:rFonts w:asciiTheme="majorHAnsi" w:hAnsiTheme="majorHAnsi"/>
        </w:rPr>
      </w:pPr>
      <w:r w:rsidRPr="00EE35F4">
        <w:rPr>
          <w:rFonts w:asciiTheme="majorHAnsi" w:hAnsiTheme="majorHAnsi"/>
        </w:rPr>
        <w:t>Adjunct teaching faculty appointments are part-time or less than 49% FTE.</w:t>
      </w:r>
    </w:p>
    <w:p w14:paraId="667CAECA" w14:textId="77777777" w:rsidR="005D3DF7" w:rsidRPr="00EE35F4" w:rsidRDefault="005D3DF7" w:rsidP="00B55FC2">
      <w:pPr>
        <w:numPr>
          <w:ilvl w:val="0"/>
          <w:numId w:val="17"/>
        </w:numPr>
        <w:spacing w:before="240" w:after="120"/>
        <w:ind w:left="720" w:hanging="360"/>
        <w:rPr>
          <w:rFonts w:asciiTheme="majorHAnsi" w:hAnsiTheme="majorHAnsi"/>
        </w:rPr>
      </w:pPr>
      <w:r w:rsidRPr="00EE35F4">
        <w:rPr>
          <w:rFonts w:asciiTheme="majorHAnsi" w:hAnsiTheme="majorHAnsi"/>
        </w:rPr>
        <w:t xml:space="preserve">Adjunct teaching faculty may only teach 1-3 classes per academic year. </w:t>
      </w:r>
    </w:p>
    <w:p w14:paraId="584A6A5A" w14:textId="77777777" w:rsidR="005D3DF7" w:rsidRPr="00EE35F4" w:rsidRDefault="005D3DF7" w:rsidP="00B55FC2">
      <w:pPr>
        <w:numPr>
          <w:ilvl w:val="0"/>
          <w:numId w:val="17"/>
        </w:numPr>
        <w:spacing w:before="240" w:after="120"/>
        <w:ind w:left="720" w:hanging="360"/>
        <w:rPr>
          <w:rFonts w:asciiTheme="majorHAnsi" w:hAnsiTheme="majorHAnsi"/>
        </w:rPr>
      </w:pPr>
      <w:r w:rsidRPr="00EE35F4">
        <w:rPr>
          <w:rFonts w:asciiTheme="majorHAnsi" w:hAnsiTheme="majorHAnsi"/>
        </w:rPr>
        <w:t>Adjunct teaching faculty appointments can be ongoing, but are not eligible for tenure or for conversion to the career track teaching faculty appointment.</w:t>
      </w:r>
    </w:p>
    <w:p w14:paraId="39DED8E9" w14:textId="77777777" w:rsidR="005D3DF7" w:rsidRPr="00EE35F4" w:rsidRDefault="005D3DF7" w:rsidP="00B55FC2">
      <w:pPr>
        <w:numPr>
          <w:ilvl w:val="0"/>
          <w:numId w:val="17"/>
        </w:numPr>
        <w:spacing w:before="240" w:after="120"/>
        <w:ind w:left="720" w:hanging="360"/>
        <w:rPr>
          <w:rFonts w:asciiTheme="majorHAnsi" w:hAnsiTheme="majorHAnsi"/>
        </w:rPr>
      </w:pPr>
      <w:r w:rsidRPr="00EE35F4">
        <w:rPr>
          <w:rFonts w:asciiTheme="majorHAnsi" w:hAnsiTheme="majorHAnsi"/>
        </w:rPr>
        <w:t>Over time, if the adjunct teaching position becomes a larger need and more classes than 3 per academic-term is needed, the department shall create a teaching faculty position and open a faculty search in accordance with OEO policies.</w:t>
      </w:r>
    </w:p>
    <w:p w14:paraId="353430CC" w14:textId="77777777" w:rsidR="005D3DF7" w:rsidRPr="00EE35F4" w:rsidRDefault="005D3DF7" w:rsidP="00B55FC2">
      <w:pPr>
        <w:numPr>
          <w:ilvl w:val="0"/>
          <w:numId w:val="17"/>
        </w:numPr>
        <w:spacing w:before="240" w:after="120"/>
        <w:ind w:left="720" w:hanging="360"/>
        <w:rPr>
          <w:rFonts w:asciiTheme="majorHAnsi" w:hAnsiTheme="majorHAnsi"/>
        </w:rPr>
      </w:pPr>
      <w:r w:rsidRPr="00EE35F4">
        <w:rPr>
          <w:rFonts w:asciiTheme="majorHAnsi" w:hAnsiTheme="majorHAnsi"/>
        </w:rPr>
        <w:t>The expectations and responsibilities of the position must be detailed in an official offer letter each academic year or academic semester.</w:t>
      </w:r>
    </w:p>
    <w:p w14:paraId="2E40C6E5" w14:textId="77777777" w:rsidR="005D3DF7" w:rsidRPr="00EE35F4" w:rsidRDefault="005D3DF7" w:rsidP="00B55FC2">
      <w:pPr>
        <w:numPr>
          <w:ilvl w:val="0"/>
          <w:numId w:val="17"/>
        </w:numPr>
        <w:spacing w:before="240" w:after="120"/>
        <w:ind w:left="720" w:hanging="360"/>
        <w:rPr>
          <w:rFonts w:asciiTheme="majorHAnsi" w:hAnsiTheme="majorHAnsi"/>
        </w:rPr>
      </w:pPr>
      <w:r w:rsidRPr="00EE35F4">
        <w:rPr>
          <w:rFonts w:asciiTheme="majorHAnsi" w:hAnsiTheme="majorHAnsi"/>
        </w:rPr>
        <w:t xml:space="preserve">Adjunct teaching faculty shall participate in annual reviews. </w:t>
      </w:r>
    </w:p>
    <w:p w14:paraId="061B0F4B" w14:textId="77777777" w:rsidR="005D3DF7" w:rsidRPr="00EE35F4" w:rsidRDefault="005D3DF7" w:rsidP="00B55FC2">
      <w:pPr>
        <w:numPr>
          <w:ilvl w:val="0"/>
          <w:numId w:val="17"/>
        </w:numPr>
        <w:spacing w:before="240" w:after="120"/>
        <w:ind w:left="720" w:hanging="360"/>
        <w:rPr>
          <w:rFonts w:asciiTheme="majorHAnsi" w:hAnsiTheme="majorHAnsi"/>
        </w:rPr>
      </w:pPr>
      <w:r w:rsidRPr="00EE35F4">
        <w:rPr>
          <w:rFonts w:asciiTheme="majorHAnsi" w:hAnsiTheme="majorHAnsi"/>
        </w:rPr>
        <w:t xml:space="preserve">Adjunct teaching faculty may hold ranks including instructor, assistant professor, associate professor, and full professor. Rank promotion for adjunct faculty shall progress via a clear and defined rank promotion process type as indicated by the Provost’s website. The documentation for promotion application will be a </w:t>
      </w:r>
      <w:r w:rsidRPr="00EE35F4">
        <w:rPr>
          <w:rFonts w:asciiTheme="majorHAnsi" w:hAnsiTheme="majorHAnsi"/>
          <w:i/>
        </w:rPr>
        <w:t xml:space="preserve">separate </w:t>
      </w:r>
      <w:r w:rsidRPr="00EE35F4">
        <w:rPr>
          <w:rFonts w:asciiTheme="majorHAnsi" w:hAnsiTheme="majorHAnsi"/>
        </w:rPr>
        <w:t>documentation application for faculty off of the tenure track who are pursuing a promotion in rank but are not eligible for tenure. As a result, the documentation for promotion application for faculty off the tenure track will not include tenure requirements or verbiage and will be appropriate for faculty off of the tenure track.</w:t>
      </w:r>
    </w:p>
    <w:p w14:paraId="605D242B" w14:textId="77777777" w:rsidR="004D0381" w:rsidRDefault="004D0381">
      <w:pPr>
        <w:spacing w:after="200" w:line="276" w:lineRule="auto"/>
        <w:ind w:firstLine="0"/>
        <w:rPr>
          <w:rFonts w:asciiTheme="majorHAnsi" w:hAnsiTheme="majorHAnsi"/>
          <w:color w:val="003300"/>
          <w:sz w:val="26"/>
          <w:szCs w:val="26"/>
        </w:rPr>
      </w:pPr>
      <w:r>
        <w:rPr>
          <w:color w:val="003300"/>
          <w:sz w:val="26"/>
          <w:szCs w:val="26"/>
        </w:rPr>
        <w:br w:type="page"/>
      </w:r>
    </w:p>
    <w:p w14:paraId="57266A64" w14:textId="1DC9C37C" w:rsidR="005D3DF7" w:rsidRPr="004D0381" w:rsidRDefault="005D3DF7" w:rsidP="00F96528">
      <w:pPr>
        <w:pStyle w:val="Heading3"/>
        <w:spacing w:before="360"/>
        <w:rPr>
          <w:color w:val="003300"/>
          <w:sz w:val="26"/>
          <w:szCs w:val="26"/>
        </w:rPr>
      </w:pPr>
      <w:r w:rsidRPr="004D0381">
        <w:rPr>
          <w:color w:val="003300"/>
          <w:sz w:val="26"/>
          <w:szCs w:val="26"/>
        </w:rPr>
        <w:lastRenderedPageBreak/>
        <w:t>3. Temporary</w:t>
      </w:r>
      <w:r w:rsidR="00EE759C" w:rsidRPr="004D0381">
        <w:rPr>
          <w:color w:val="003300"/>
          <w:sz w:val="26"/>
          <w:szCs w:val="26"/>
        </w:rPr>
        <w:t xml:space="preserve"> Teaching</w:t>
      </w:r>
      <w:r w:rsidRPr="004D0381">
        <w:rPr>
          <w:color w:val="003300"/>
          <w:sz w:val="26"/>
          <w:szCs w:val="26"/>
        </w:rPr>
        <w:t xml:space="preserve"> Faculty: </w:t>
      </w:r>
    </w:p>
    <w:p w14:paraId="77CC565E"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Not more than 10% of all teaching faculty will be in this group.</w:t>
      </w:r>
    </w:p>
    <w:p w14:paraId="751A3E65"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Faculty off of the tenure track who are hired on a short-term basis to cover departmental needs related to sabbaticals, enrollment growth, extra sections, and unforeseen, last-minute necessities, etc., will be classified as temporary teaching faculty. </w:t>
      </w:r>
    </w:p>
    <w:p w14:paraId="0AD8986A" w14:textId="77777777" w:rsidR="005D3DF7" w:rsidRPr="00EE35F4" w:rsidRDefault="005D3DF7" w:rsidP="00B55FC2">
      <w:pPr>
        <w:numPr>
          <w:ilvl w:val="0"/>
          <w:numId w:val="19"/>
        </w:numPr>
        <w:spacing w:before="240" w:after="120"/>
        <w:ind w:left="720" w:hanging="360"/>
        <w:rPr>
          <w:rFonts w:asciiTheme="majorHAnsi" w:hAnsiTheme="majorHAnsi"/>
        </w:rPr>
      </w:pPr>
      <w:r w:rsidRPr="00EE35F4">
        <w:rPr>
          <w:rFonts w:asciiTheme="majorHAnsi" w:hAnsiTheme="majorHAnsi"/>
        </w:rPr>
        <w:t xml:space="preserve">Temporary teaching faculty appointments may be full or part time, but are limited to one academic year and to no more than 3 consecutive semesters. </w:t>
      </w:r>
    </w:p>
    <w:p w14:paraId="325BC764" w14:textId="22E83EA4" w:rsidR="005D3DF7" w:rsidRPr="00EE35F4" w:rsidRDefault="005D3DF7" w:rsidP="00B55FC2">
      <w:pPr>
        <w:numPr>
          <w:ilvl w:val="0"/>
          <w:numId w:val="19"/>
        </w:numPr>
        <w:spacing w:before="240" w:after="120"/>
        <w:ind w:left="720" w:hanging="360"/>
        <w:rPr>
          <w:rFonts w:asciiTheme="majorHAnsi" w:hAnsiTheme="majorHAnsi"/>
        </w:rPr>
      </w:pPr>
      <w:r w:rsidRPr="00EE35F4">
        <w:rPr>
          <w:rFonts w:asciiTheme="majorHAnsi" w:hAnsiTheme="majorHAnsi"/>
        </w:rPr>
        <w:t>Temporary teaching faculty appointments are not eligible for tenure or for conversion to other teaching faculty appointments. For all new hires (does not apply to current temporary faculty or converted faculty), if a short-term need becomes a long-term need, the department will need to create a teaching faculty position and conduct a search that adheres to OEO policies.</w:t>
      </w:r>
    </w:p>
    <w:p w14:paraId="05FD199A" w14:textId="77777777" w:rsidR="005D3DF7" w:rsidRPr="00EE35F4" w:rsidRDefault="005D3DF7" w:rsidP="00B55FC2">
      <w:pPr>
        <w:numPr>
          <w:ilvl w:val="0"/>
          <w:numId w:val="19"/>
        </w:numPr>
        <w:spacing w:before="240" w:after="120"/>
        <w:ind w:left="720" w:hanging="360"/>
        <w:rPr>
          <w:rFonts w:asciiTheme="majorHAnsi" w:hAnsiTheme="majorHAnsi"/>
        </w:rPr>
      </w:pPr>
      <w:r w:rsidRPr="00EE35F4">
        <w:rPr>
          <w:rFonts w:asciiTheme="majorHAnsi" w:hAnsiTheme="majorHAnsi"/>
        </w:rPr>
        <w:t xml:space="preserve">The expectations and responsibilities of the position’s workload must be detailed in an official offer letter each academic year or academic semester, which indicates in detail the position’s responsibilities, expectations, and a specific end date for the appointment. </w:t>
      </w:r>
    </w:p>
    <w:p w14:paraId="59CBED5B" w14:textId="77777777" w:rsidR="005D3DF7" w:rsidRPr="00EE35F4" w:rsidRDefault="005D3DF7" w:rsidP="00B55FC2">
      <w:pPr>
        <w:numPr>
          <w:ilvl w:val="0"/>
          <w:numId w:val="19"/>
        </w:numPr>
        <w:spacing w:before="240" w:after="120"/>
        <w:ind w:left="720" w:hanging="360"/>
        <w:rPr>
          <w:rFonts w:asciiTheme="majorHAnsi" w:hAnsiTheme="majorHAnsi"/>
        </w:rPr>
      </w:pPr>
      <w:r w:rsidRPr="00EE35F4">
        <w:rPr>
          <w:rFonts w:asciiTheme="majorHAnsi" w:hAnsiTheme="majorHAnsi"/>
        </w:rPr>
        <w:t xml:space="preserve">Temporary teaching faculty shall participate in annual reviews. </w:t>
      </w:r>
    </w:p>
    <w:p w14:paraId="7F5D8FAD" w14:textId="5AE8C6A2" w:rsidR="005D3DF7" w:rsidRPr="00EE35F4" w:rsidRDefault="005D3DF7" w:rsidP="00B55FC2">
      <w:pPr>
        <w:numPr>
          <w:ilvl w:val="0"/>
          <w:numId w:val="19"/>
        </w:numPr>
        <w:spacing w:before="240" w:after="120"/>
        <w:ind w:left="720" w:hanging="360"/>
        <w:rPr>
          <w:rFonts w:asciiTheme="majorHAnsi" w:hAnsiTheme="majorHAnsi"/>
        </w:rPr>
      </w:pPr>
      <w:r w:rsidRPr="00EE35F4">
        <w:rPr>
          <w:rFonts w:asciiTheme="majorHAnsi" w:hAnsiTheme="majorHAnsi"/>
        </w:rPr>
        <w:t xml:space="preserve">Temporary teaching faculty </w:t>
      </w:r>
      <w:r w:rsidR="00EE759C">
        <w:rPr>
          <w:rFonts w:asciiTheme="majorHAnsi" w:hAnsiTheme="majorHAnsi"/>
        </w:rPr>
        <w:t>may hold a rank</w:t>
      </w:r>
      <w:r w:rsidRPr="00EE35F4">
        <w:rPr>
          <w:rFonts w:asciiTheme="majorHAnsi" w:hAnsiTheme="majorHAnsi"/>
        </w:rPr>
        <w:t xml:space="preserve"> of instructor, assistant professor, associate professor, or full professor. </w:t>
      </w:r>
      <w:r w:rsidR="00EE759C">
        <w:rPr>
          <w:rFonts w:asciiTheme="majorHAnsi" w:hAnsiTheme="majorHAnsi"/>
        </w:rPr>
        <w:t xml:space="preserve">However, temporary teaching faculty may not be promoted in rank on a temporary appointment. </w:t>
      </w:r>
    </w:p>
    <w:p w14:paraId="435DD4F6" w14:textId="77777777" w:rsidR="005D3DF7" w:rsidRPr="004D0381" w:rsidRDefault="005D3DF7" w:rsidP="00F96528">
      <w:pPr>
        <w:pStyle w:val="Heading3"/>
        <w:spacing w:before="360"/>
        <w:rPr>
          <w:color w:val="003300"/>
          <w:sz w:val="26"/>
          <w:szCs w:val="26"/>
        </w:rPr>
      </w:pPr>
      <w:r w:rsidRPr="004D0381">
        <w:rPr>
          <w:color w:val="003300"/>
          <w:sz w:val="26"/>
          <w:szCs w:val="26"/>
        </w:rPr>
        <w:t xml:space="preserve">4. Specialized Research Faculty: </w:t>
      </w:r>
    </w:p>
    <w:p w14:paraId="01BFB79D"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Faculty off the tenure track who have a workload appointment of 40-95% research, with 5-20% service, and 0-20% teaching will be classified as specialized research faculty.  In cases where current faculty being converted are close to these percentages (i.e., 100% research, 0% service), all efforts will be made to align workload distributions to comply with expectations for specialized research faculty appointments. </w:t>
      </w:r>
    </w:p>
    <w:p w14:paraId="32F3B822" w14:textId="77777777" w:rsidR="005D3DF7" w:rsidRPr="00EE35F4" w:rsidRDefault="005D3DF7" w:rsidP="00B55FC2">
      <w:pPr>
        <w:numPr>
          <w:ilvl w:val="0"/>
          <w:numId w:val="18"/>
        </w:numPr>
        <w:spacing w:before="240" w:after="120"/>
        <w:ind w:left="720" w:hanging="360"/>
        <w:rPr>
          <w:rFonts w:asciiTheme="majorHAnsi" w:hAnsiTheme="majorHAnsi"/>
          <w:smallCaps/>
        </w:rPr>
      </w:pPr>
      <w:r w:rsidRPr="00EE35F4">
        <w:rPr>
          <w:rFonts w:asciiTheme="majorHAnsi" w:hAnsiTheme="majorHAnsi"/>
        </w:rPr>
        <w:t xml:space="preserve">This faculty appointment type specifies what previous special and temporary appointments with primarily research responsibilities do at and for the University. </w:t>
      </w:r>
    </w:p>
    <w:p w14:paraId="4AEBCFBD" w14:textId="77777777" w:rsidR="005D3DF7" w:rsidRPr="00EE35F4" w:rsidRDefault="005D3DF7" w:rsidP="00B55FC2">
      <w:pPr>
        <w:numPr>
          <w:ilvl w:val="0"/>
          <w:numId w:val="18"/>
        </w:numPr>
        <w:spacing w:before="240" w:after="120"/>
        <w:ind w:left="720" w:hanging="360"/>
        <w:rPr>
          <w:rFonts w:asciiTheme="majorHAnsi" w:hAnsiTheme="majorHAnsi"/>
          <w:smallCaps/>
        </w:rPr>
      </w:pPr>
      <w:r w:rsidRPr="00EE35F4">
        <w:rPr>
          <w:rFonts w:asciiTheme="majorHAnsi" w:hAnsiTheme="majorHAnsi"/>
        </w:rPr>
        <w:t>This appointment type is not eligible for tenure, but one- to five-year research faculty contracts are legally available and shall be encouraged.</w:t>
      </w:r>
    </w:p>
    <w:p w14:paraId="538D58E8" w14:textId="77777777" w:rsidR="005D3DF7" w:rsidRPr="00EE35F4" w:rsidRDefault="005D3DF7" w:rsidP="00B55FC2">
      <w:pPr>
        <w:numPr>
          <w:ilvl w:val="0"/>
          <w:numId w:val="18"/>
        </w:numPr>
        <w:spacing w:before="240" w:after="120"/>
        <w:ind w:left="720" w:hanging="360"/>
        <w:rPr>
          <w:rFonts w:asciiTheme="majorHAnsi" w:hAnsiTheme="majorHAnsi"/>
          <w:smallCaps/>
        </w:rPr>
      </w:pPr>
      <w:r w:rsidRPr="00EE35F4">
        <w:rPr>
          <w:rFonts w:asciiTheme="majorHAnsi" w:hAnsiTheme="majorHAnsi"/>
        </w:rPr>
        <w:t>The appointment type, position, and its workload expectations and responsibilities will be stipulated in an official offer letter at the commencement of the appointment (true for new hires and current faculty who are converted).</w:t>
      </w:r>
    </w:p>
    <w:p w14:paraId="70988E8D" w14:textId="77777777" w:rsidR="005D3DF7" w:rsidRPr="00EE35F4" w:rsidRDefault="005D3DF7" w:rsidP="00B55FC2">
      <w:pPr>
        <w:numPr>
          <w:ilvl w:val="0"/>
          <w:numId w:val="18"/>
        </w:numPr>
        <w:spacing w:before="240" w:after="120"/>
        <w:ind w:left="720" w:hanging="360"/>
        <w:rPr>
          <w:rFonts w:asciiTheme="majorHAnsi" w:hAnsiTheme="majorHAnsi"/>
          <w:smallCaps/>
        </w:rPr>
      </w:pPr>
      <w:r w:rsidRPr="00EE35F4">
        <w:rPr>
          <w:rFonts w:asciiTheme="majorHAnsi" w:hAnsiTheme="majorHAnsi"/>
        </w:rPr>
        <w:t xml:space="preserve">Specialized research faculty shall be eligible for the ranks of instructor, assistant professor, associate professor, and full professor. Rank promotion for specialized research faculty shall progress via a clearly defined rank promotion process type as indicated by the Provost’s website. The documentation for promotion application will be a </w:t>
      </w:r>
      <w:r w:rsidRPr="00EE35F4">
        <w:rPr>
          <w:rFonts w:asciiTheme="majorHAnsi" w:hAnsiTheme="majorHAnsi"/>
          <w:i/>
        </w:rPr>
        <w:t xml:space="preserve">separate </w:t>
      </w:r>
      <w:r w:rsidRPr="00EE35F4">
        <w:rPr>
          <w:rFonts w:asciiTheme="majorHAnsi" w:hAnsiTheme="majorHAnsi"/>
        </w:rPr>
        <w:t>documentation application for faculty off of the tenure track who are pursuing a promotion in rank but are not eligible for tenure. As a result, the documentation for promotion application for faculty off the tenure track will not include tenure requirements or verbiage and will be appropriate for faculty off of the tenure track.</w:t>
      </w:r>
    </w:p>
    <w:p w14:paraId="27A1A1FF" w14:textId="57C62735" w:rsidR="005D3DF7" w:rsidRPr="004D0381" w:rsidRDefault="00AC731B" w:rsidP="00F96528">
      <w:pPr>
        <w:pStyle w:val="Heading3"/>
        <w:spacing w:before="360"/>
        <w:rPr>
          <w:color w:val="003300"/>
          <w:sz w:val="26"/>
          <w:szCs w:val="26"/>
        </w:rPr>
      </w:pPr>
      <w:r w:rsidRPr="004D0381">
        <w:rPr>
          <w:color w:val="003300"/>
          <w:sz w:val="26"/>
          <w:szCs w:val="26"/>
        </w:rPr>
        <w:lastRenderedPageBreak/>
        <w:t>5. Specialized Clinical Faculty:</w:t>
      </w:r>
    </w:p>
    <w:p w14:paraId="7ED08754"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Faculty off the tenure track who have a workload distribution that specifically describes clinical responsibilities and expectations will be classified as specialized clinical faculty.  In cases where current faculty are close to the description of a clinical faculty appointment, all efforts will be made to align workload distributions to comply with expectations for specialized clinical faculty appointments. </w:t>
      </w:r>
    </w:p>
    <w:p w14:paraId="20E49D99" w14:textId="77777777" w:rsidR="005D3DF7" w:rsidRPr="00EE35F4" w:rsidRDefault="005D3DF7" w:rsidP="00B55FC2">
      <w:pPr>
        <w:numPr>
          <w:ilvl w:val="0"/>
          <w:numId w:val="33"/>
        </w:numPr>
        <w:spacing w:before="240" w:after="120"/>
        <w:ind w:left="720" w:hanging="360"/>
        <w:rPr>
          <w:rFonts w:asciiTheme="majorHAnsi" w:hAnsiTheme="majorHAnsi"/>
        </w:rPr>
      </w:pPr>
      <w:r w:rsidRPr="00EE35F4">
        <w:rPr>
          <w:rFonts w:asciiTheme="majorHAnsi" w:hAnsiTheme="majorHAnsi"/>
        </w:rPr>
        <w:t xml:space="preserve">This faculty appointment type specifies what previous special and temporary appointments with primarily clinical responsibilities do at and for the University. </w:t>
      </w:r>
    </w:p>
    <w:p w14:paraId="7D7EC8A0" w14:textId="77777777" w:rsidR="005D3DF7" w:rsidRPr="00EE35F4" w:rsidRDefault="005D3DF7" w:rsidP="00B55FC2">
      <w:pPr>
        <w:numPr>
          <w:ilvl w:val="0"/>
          <w:numId w:val="33"/>
        </w:numPr>
        <w:spacing w:before="240" w:after="120"/>
        <w:ind w:left="720" w:hanging="360"/>
        <w:rPr>
          <w:rFonts w:asciiTheme="majorHAnsi" w:hAnsiTheme="majorHAnsi"/>
          <w:smallCaps/>
        </w:rPr>
      </w:pPr>
      <w:r w:rsidRPr="00EE35F4">
        <w:rPr>
          <w:rFonts w:asciiTheme="majorHAnsi" w:hAnsiTheme="majorHAnsi"/>
        </w:rPr>
        <w:t>This appointment type is not eligible for tenure, but one- to three-year contracts are legal and shall be encouraged.</w:t>
      </w:r>
    </w:p>
    <w:p w14:paraId="03E39E5C" w14:textId="77777777" w:rsidR="005D3DF7" w:rsidRPr="00EE35F4" w:rsidRDefault="005D3DF7" w:rsidP="00B55FC2">
      <w:pPr>
        <w:numPr>
          <w:ilvl w:val="0"/>
          <w:numId w:val="33"/>
        </w:numPr>
        <w:spacing w:before="240" w:after="120"/>
        <w:ind w:left="720" w:hanging="360"/>
        <w:rPr>
          <w:rFonts w:asciiTheme="majorHAnsi" w:hAnsiTheme="majorHAnsi"/>
        </w:rPr>
      </w:pPr>
      <w:r w:rsidRPr="00EE35F4">
        <w:rPr>
          <w:rFonts w:asciiTheme="majorHAnsi" w:hAnsiTheme="majorHAnsi"/>
        </w:rPr>
        <w:t xml:space="preserve">The appointment type, position, and its workload expectations and responsibilities will be stipulated in an official offer letter at the commencement of the appointment (true for new hires and current faculty who are converted). </w:t>
      </w:r>
    </w:p>
    <w:p w14:paraId="4E3EE931" w14:textId="77777777" w:rsidR="005D3DF7" w:rsidRPr="00EE35F4" w:rsidRDefault="005D3DF7" w:rsidP="00B55FC2">
      <w:pPr>
        <w:numPr>
          <w:ilvl w:val="0"/>
          <w:numId w:val="33"/>
        </w:numPr>
        <w:spacing w:before="240" w:after="120"/>
        <w:ind w:left="720" w:hanging="360"/>
        <w:rPr>
          <w:rFonts w:asciiTheme="majorHAnsi" w:hAnsiTheme="majorHAnsi"/>
        </w:rPr>
      </w:pPr>
      <w:r w:rsidRPr="00EE35F4">
        <w:rPr>
          <w:rFonts w:asciiTheme="majorHAnsi" w:hAnsiTheme="majorHAnsi"/>
        </w:rPr>
        <w:t xml:space="preserve">Specialized clinical faculty shall be eligible for the ranks of instructor, assistant professor, associate professor, and full professor. Rank promotion for specialized clinical faculty shall progress via a clearly defined rank promotion process type as indicated by the Provost’s website. The documentation for promotion application will be a </w:t>
      </w:r>
      <w:r w:rsidRPr="00EE35F4">
        <w:rPr>
          <w:rFonts w:asciiTheme="majorHAnsi" w:hAnsiTheme="majorHAnsi"/>
          <w:i/>
        </w:rPr>
        <w:t xml:space="preserve">separate </w:t>
      </w:r>
      <w:r w:rsidRPr="00EE35F4">
        <w:rPr>
          <w:rFonts w:asciiTheme="majorHAnsi" w:hAnsiTheme="majorHAnsi"/>
        </w:rPr>
        <w:t>documentation application for faculty off the tenure track who are pursuing a promotion in rank but are not eligible for tenure. As a result, the documentation for promotion application for faculty off the tenure track will not include tenure requirements or verbiage and will be appropriate for faculty off of the tenure track.</w:t>
      </w:r>
    </w:p>
    <w:p w14:paraId="5E84D85D" w14:textId="77777777" w:rsidR="005D3DF7" w:rsidRPr="00AC731B" w:rsidRDefault="005D3DF7" w:rsidP="00E4147A">
      <w:pPr>
        <w:pStyle w:val="Heading3"/>
        <w:spacing w:before="360"/>
        <w:rPr>
          <w:color w:val="003300"/>
        </w:rPr>
      </w:pPr>
      <w:r w:rsidRPr="00AC731B">
        <w:rPr>
          <w:color w:val="003300"/>
        </w:rPr>
        <w:t xml:space="preserve">Conversion and Considerations for Current </w:t>
      </w:r>
      <w:r w:rsidR="000B263D" w:rsidRPr="00AC731B">
        <w:rPr>
          <w:color w:val="003300"/>
        </w:rPr>
        <w:t>NTTF</w:t>
      </w:r>
      <w:r w:rsidRPr="00AC731B">
        <w:rPr>
          <w:color w:val="003300"/>
        </w:rPr>
        <w:t xml:space="preserve"> at CSU</w:t>
      </w:r>
    </w:p>
    <w:p w14:paraId="296D4047" w14:textId="77777777" w:rsidR="005D3DF7" w:rsidRPr="00EE35F4" w:rsidRDefault="005D3DF7" w:rsidP="005D3DF7">
      <w:pPr>
        <w:spacing w:before="240" w:after="120"/>
        <w:ind w:right="-216" w:firstLine="0"/>
        <w:rPr>
          <w:rFonts w:asciiTheme="majorHAnsi" w:hAnsiTheme="majorHAnsi"/>
        </w:rPr>
      </w:pPr>
      <w:r w:rsidRPr="00EE35F4">
        <w:rPr>
          <w:rFonts w:asciiTheme="majorHAnsi" w:hAnsiTheme="majorHAnsi"/>
        </w:rPr>
        <w:t>Current faculty on temporary, special, and senior teaching appointments shall be converted to the new teaching faculty career path appointments in the manner described in Appendix A.</w:t>
      </w:r>
    </w:p>
    <w:p w14:paraId="5F47AB20"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It is expected that</w:t>
      </w:r>
    </w:p>
    <w:p w14:paraId="0B4F98C8" w14:textId="32D132C9" w:rsidR="00E37D7B" w:rsidRPr="00E37D7B" w:rsidRDefault="00A13B8D" w:rsidP="00E37D7B">
      <w:pPr>
        <w:numPr>
          <w:ilvl w:val="0"/>
          <w:numId w:val="36"/>
        </w:numPr>
        <w:spacing w:before="240" w:after="120"/>
        <w:ind w:left="1080" w:hanging="360"/>
        <w:rPr>
          <w:rFonts w:asciiTheme="majorHAnsi" w:hAnsiTheme="majorHAnsi"/>
        </w:rPr>
      </w:pPr>
      <w:r>
        <w:rPr>
          <w:rFonts w:asciiTheme="majorHAnsi" w:hAnsiTheme="majorHAnsi"/>
        </w:rPr>
        <w:t>All qualified faculty off of the tenure track</w:t>
      </w:r>
      <w:r w:rsidR="005D3DF7" w:rsidRPr="00EE35F4">
        <w:rPr>
          <w:rFonts w:asciiTheme="majorHAnsi" w:hAnsiTheme="majorHAnsi"/>
        </w:rPr>
        <w:t xml:space="preserve"> will</w:t>
      </w:r>
      <w:r>
        <w:rPr>
          <w:rFonts w:asciiTheme="majorHAnsi" w:hAnsiTheme="majorHAnsi"/>
        </w:rPr>
        <w:t xml:space="preserve"> be eligible for</w:t>
      </w:r>
      <w:r w:rsidR="005D3DF7" w:rsidRPr="00EE35F4">
        <w:rPr>
          <w:rFonts w:asciiTheme="majorHAnsi" w:hAnsiTheme="majorHAnsi"/>
        </w:rPr>
        <w:t xml:space="preserve"> immediate conversions to a Junior or Senior Teaching Faculty appointment depending on duration of employment at CSU in a special or temporary appointmen</w:t>
      </w:r>
      <w:r>
        <w:rPr>
          <w:rFonts w:asciiTheme="majorHAnsi" w:hAnsiTheme="majorHAnsi"/>
        </w:rPr>
        <w:t>t with at least 50% effort distribution</w:t>
      </w:r>
      <w:r w:rsidR="005D3DF7" w:rsidRPr="00EE35F4">
        <w:rPr>
          <w:rFonts w:asciiTheme="majorHAnsi" w:hAnsiTheme="majorHAnsi"/>
        </w:rPr>
        <w:t xml:space="preserve">. </w:t>
      </w:r>
      <w:r w:rsidR="00E37D7B" w:rsidRPr="00E37D7B">
        <w:rPr>
          <w:rFonts w:asciiTheme="majorHAnsi" w:hAnsiTheme="majorHAnsi"/>
        </w:rPr>
        <w:t xml:space="preserve">There may be cases where current faculty’s effort distributions will not match </w:t>
      </w:r>
      <w:r>
        <w:rPr>
          <w:rFonts w:asciiTheme="majorHAnsi" w:hAnsiTheme="majorHAnsi"/>
        </w:rPr>
        <w:t>the</w:t>
      </w:r>
      <w:r w:rsidR="00E37D7B" w:rsidRPr="00E37D7B">
        <w:rPr>
          <w:rFonts w:asciiTheme="majorHAnsi" w:hAnsiTheme="majorHAnsi"/>
        </w:rPr>
        <w:t xml:space="preserve"> new appointment type precisely and therefore all current faculty </w:t>
      </w:r>
      <w:r>
        <w:rPr>
          <w:rFonts w:asciiTheme="majorHAnsi" w:hAnsiTheme="majorHAnsi"/>
        </w:rPr>
        <w:t>holding</w:t>
      </w:r>
      <w:r w:rsidR="00E37D7B" w:rsidRPr="00E37D7B">
        <w:rPr>
          <w:rFonts w:asciiTheme="majorHAnsi" w:hAnsiTheme="majorHAnsi"/>
        </w:rPr>
        <w:t xml:space="preserve"> “senior</w:t>
      </w:r>
      <w:r>
        <w:rPr>
          <w:rFonts w:asciiTheme="majorHAnsi" w:hAnsiTheme="majorHAnsi"/>
        </w:rPr>
        <w:t xml:space="preserve"> teaching” appointments will be converted immediately to Senior Teaching Faculty Appointments of the new career-</w:t>
      </w:r>
      <w:r w:rsidR="00E37D7B" w:rsidRPr="00E37D7B">
        <w:rPr>
          <w:rFonts w:asciiTheme="majorHAnsi" w:hAnsiTheme="majorHAnsi"/>
        </w:rPr>
        <w:t>track appointment without changing the effort distribution. However, all new hires after the adoption of the Ca</w:t>
      </w:r>
      <w:r>
        <w:rPr>
          <w:rFonts w:asciiTheme="majorHAnsi" w:hAnsiTheme="majorHAnsi"/>
        </w:rPr>
        <w:t xml:space="preserve">reer-track faculty appointment </w:t>
      </w:r>
      <w:r w:rsidR="00E37D7B" w:rsidRPr="00E37D7B">
        <w:rPr>
          <w:rFonts w:asciiTheme="majorHAnsi" w:hAnsiTheme="majorHAnsi"/>
        </w:rPr>
        <w:t>shall have effort distributions that fit the new requirements.</w:t>
      </w:r>
    </w:p>
    <w:p w14:paraId="5C16E013" w14:textId="77777777" w:rsidR="005D3DF7" w:rsidRPr="00EE35F4" w:rsidRDefault="005D3DF7" w:rsidP="00E37D7B">
      <w:pPr>
        <w:numPr>
          <w:ilvl w:val="0"/>
          <w:numId w:val="36"/>
        </w:numPr>
        <w:spacing w:before="240" w:after="120"/>
        <w:ind w:left="1080" w:hanging="360"/>
        <w:rPr>
          <w:rFonts w:asciiTheme="majorHAnsi" w:hAnsiTheme="majorHAnsi"/>
        </w:rPr>
      </w:pPr>
      <w:r w:rsidRPr="00EE35F4">
        <w:rPr>
          <w:rFonts w:asciiTheme="majorHAnsi" w:hAnsiTheme="majorHAnsi"/>
        </w:rPr>
        <w:t>Faculty hired to teach 1-3 courses per year will be converted to Adjunct Teaching Faculty and will not exceed 10% of the overall teaching faculty.</w:t>
      </w:r>
    </w:p>
    <w:p w14:paraId="749F1DAE" w14:textId="77777777" w:rsidR="005D3DF7" w:rsidRPr="00EE35F4" w:rsidRDefault="005D3DF7" w:rsidP="00B55FC2">
      <w:pPr>
        <w:numPr>
          <w:ilvl w:val="0"/>
          <w:numId w:val="36"/>
        </w:numPr>
        <w:spacing w:before="240" w:after="120"/>
        <w:ind w:left="1080" w:hanging="360"/>
        <w:rPr>
          <w:rFonts w:asciiTheme="majorHAnsi" w:hAnsiTheme="majorHAnsi"/>
        </w:rPr>
      </w:pPr>
      <w:r w:rsidRPr="00EE35F4">
        <w:rPr>
          <w:rFonts w:asciiTheme="majorHAnsi" w:hAnsiTheme="majorHAnsi"/>
        </w:rPr>
        <w:t>Faculty whose current positions cannot be converted to Teaching Faculty for specific and documented reasons will be notified of the certain ending date for the position they hold and shall be informed of any new procedures for applying to future Teaching Faculty positions. Central Administration will review each case for not converting a current faculty member.</w:t>
      </w:r>
    </w:p>
    <w:p w14:paraId="174281D1" w14:textId="5245C60B" w:rsidR="005D3DF7" w:rsidRPr="00EE35F4" w:rsidRDefault="005D3DF7" w:rsidP="00B55FC2">
      <w:pPr>
        <w:numPr>
          <w:ilvl w:val="0"/>
          <w:numId w:val="36"/>
        </w:numPr>
        <w:spacing w:before="240" w:after="120"/>
        <w:ind w:left="1080" w:hanging="360"/>
        <w:rPr>
          <w:rFonts w:asciiTheme="majorHAnsi" w:hAnsiTheme="majorHAnsi"/>
        </w:rPr>
      </w:pPr>
      <w:r w:rsidRPr="00EE35F4">
        <w:rPr>
          <w:rFonts w:asciiTheme="majorHAnsi" w:hAnsiTheme="majorHAnsi"/>
        </w:rPr>
        <w:lastRenderedPageBreak/>
        <w:t xml:space="preserve">All current Senior Teaching Faculty will be </w:t>
      </w:r>
      <w:r w:rsidR="00A13B8D">
        <w:rPr>
          <w:rFonts w:asciiTheme="majorHAnsi" w:hAnsiTheme="majorHAnsi"/>
        </w:rPr>
        <w:t xml:space="preserve">converted immediately to Senior Teaching Faculty Appointments and </w:t>
      </w:r>
      <w:r w:rsidRPr="00EE35F4">
        <w:rPr>
          <w:rFonts w:asciiTheme="majorHAnsi" w:hAnsiTheme="majorHAnsi"/>
        </w:rPr>
        <w:t>granted rolling and renewing multi-year</w:t>
      </w:r>
      <w:r w:rsidRPr="00EE35F4">
        <w:rPr>
          <w:rFonts w:asciiTheme="majorHAnsi" w:hAnsiTheme="majorHAnsi"/>
          <w:i/>
        </w:rPr>
        <w:t xml:space="preserve"> </w:t>
      </w:r>
      <w:r w:rsidR="00A13B8D">
        <w:rPr>
          <w:rFonts w:asciiTheme="majorHAnsi" w:hAnsiTheme="majorHAnsi"/>
        </w:rPr>
        <w:t>contracts with clear funding support from Central Administration.</w:t>
      </w:r>
    </w:p>
    <w:p w14:paraId="6D7AEE16" w14:textId="77777777" w:rsidR="005D3DF7" w:rsidRPr="00EE35F4" w:rsidRDefault="005D3DF7" w:rsidP="00B55FC2">
      <w:pPr>
        <w:numPr>
          <w:ilvl w:val="0"/>
          <w:numId w:val="36"/>
        </w:numPr>
        <w:spacing w:before="240" w:after="120"/>
        <w:ind w:left="1080" w:hanging="360"/>
        <w:rPr>
          <w:rFonts w:asciiTheme="majorHAnsi" w:hAnsiTheme="majorHAnsi"/>
        </w:rPr>
      </w:pPr>
      <w:r w:rsidRPr="00EE35F4">
        <w:rPr>
          <w:rFonts w:asciiTheme="majorHAnsi" w:hAnsiTheme="majorHAnsi"/>
        </w:rPr>
        <w:t xml:space="preserve">All departments will establish procedures for conducting reviews of all teaching faculty by the department’s Teaching Faculty Evaluation Committee based on the guidelines in the </w:t>
      </w:r>
      <w:r w:rsidRPr="00EE35F4">
        <w:rPr>
          <w:rFonts w:asciiTheme="majorHAnsi" w:hAnsiTheme="majorHAnsi"/>
          <w:i/>
        </w:rPr>
        <w:t xml:space="preserve">Manual </w:t>
      </w:r>
      <w:r w:rsidRPr="00EE35F4">
        <w:rPr>
          <w:rFonts w:asciiTheme="majorHAnsi" w:hAnsiTheme="majorHAnsi"/>
        </w:rPr>
        <w:t xml:space="preserve">and on recommendations for teaching evaluation provided by the Committee on Teaching and Learning. </w:t>
      </w:r>
    </w:p>
    <w:p w14:paraId="200CC6EB" w14:textId="77777777" w:rsidR="005D3DF7" w:rsidRPr="00EE35F4" w:rsidRDefault="005D3DF7" w:rsidP="00B55FC2">
      <w:pPr>
        <w:numPr>
          <w:ilvl w:val="0"/>
          <w:numId w:val="36"/>
        </w:numPr>
        <w:spacing w:before="240" w:after="120"/>
        <w:ind w:left="1080" w:hanging="360"/>
        <w:rPr>
          <w:rFonts w:asciiTheme="majorHAnsi" w:hAnsiTheme="majorHAnsi"/>
        </w:rPr>
      </w:pPr>
      <w:r w:rsidRPr="00EE35F4">
        <w:rPr>
          <w:rFonts w:asciiTheme="majorHAnsi" w:hAnsiTheme="majorHAnsi"/>
        </w:rPr>
        <w:t xml:space="preserve">Departments will promptly review any current special or temporary faculty with 10 consecutive semesters of teaching at CSU for promotion to Senior Teaching Appointment, as described in section E.2.1.3 of the </w:t>
      </w:r>
      <w:r w:rsidRPr="00EE35F4">
        <w:rPr>
          <w:rFonts w:asciiTheme="majorHAnsi" w:hAnsiTheme="majorHAnsi"/>
          <w:i/>
        </w:rPr>
        <w:t>Faculty Manual.</w:t>
      </w:r>
      <w:r w:rsidRPr="00EE35F4">
        <w:rPr>
          <w:rFonts w:asciiTheme="majorHAnsi" w:hAnsiTheme="majorHAnsi"/>
        </w:rPr>
        <w:t xml:space="preserve"> </w:t>
      </w:r>
    </w:p>
    <w:p w14:paraId="01AEA723" w14:textId="32D11ED0" w:rsidR="005D3DF7" w:rsidRPr="00AC731B" w:rsidRDefault="005D3DF7" w:rsidP="00AC731B">
      <w:pPr>
        <w:numPr>
          <w:ilvl w:val="0"/>
          <w:numId w:val="36"/>
        </w:numPr>
        <w:spacing w:before="240" w:after="120"/>
        <w:ind w:left="1080" w:hanging="360"/>
        <w:rPr>
          <w:rFonts w:asciiTheme="majorHAnsi" w:hAnsiTheme="majorHAnsi"/>
        </w:rPr>
      </w:pPr>
      <w:r w:rsidRPr="00EE35F4">
        <w:rPr>
          <w:rFonts w:asciiTheme="majorHAnsi" w:hAnsiTheme="majorHAnsi"/>
        </w:rPr>
        <w:t>Offer letters meeting the requirements established here will be provided upon conversion.</w:t>
      </w:r>
      <w:bookmarkStart w:id="10" w:name="h.2s8eyo1" w:colFirst="0" w:colLast="0"/>
      <w:bookmarkStart w:id="11" w:name="_Toc452993098"/>
      <w:bookmarkEnd w:id="10"/>
      <w:r w:rsidRPr="00AC731B">
        <w:rPr>
          <w:rFonts w:asciiTheme="majorHAnsi" w:hAnsiTheme="majorHAnsi"/>
          <w:b/>
          <w:sz w:val="32"/>
          <w:szCs w:val="32"/>
        </w:rPr>
        <w:br w:type="page"/>
      </w:r>
    </w:p>
    <w:p w14:paraId="244E983F" w14:textId="77777777" w:rsidR="005D3DF7" w:rsidRPr="00AC731B" w:rsidRDefault="005D3DF7" w:rsidP="005D3DF7">
      <w:pPr>
        <w:spacing w:before="240" w:after="120"/>
        <w:ind w:firstLine="0"/>
        <w:rPr>
          <w:rFonts w:asciiTheme="majorHAnsi" w:hAnsiTheme="majorHAnsi"/>
          <w:b/>
          <w:color w:val="003300"/>
        </w:rPr>
      </w:pPr>
      <w:r w:rsidRPr="00AC731B">
        <w:rPr>
          <w:rFonts w:asciiTheme="majorHAnsi" w:hAnsiTheme="majorHAnsi"/>
          <w:b/>
          <w:color w:val="003300"/>
          <w:sz w:val="32"/>
          <w:szCs w:val="32"/>
        </w:rPr>
        <w:lastRenderedPageBreak/>
        <w:t>The Rationale for This Proposal</w:t>
      </w:r>
      <w:bookmarkEnd w:id="11"/>
      <w:r w:rsidRPr="00AC731B">
        <w:rPr>
          <w:rFonts w:asciiTheme="majorHAnsi" w:hAnsiTheme="majorHAnsi"/>
          <w:b/>
          <w:color w:val="003300"/>
          <w:sz w:val="32"/>
          <w:szCs w:val="32"/>
        </w:rPr>
        <w:t xml:space="preserve"> </w:t>
      </w:r>
    </w:p>
    <w:p w14:paraId="76337B02"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The guiding principle of this proposal is that the profession of teaching is appealing to people of ability only when accompanied by the guarantee of academic freedom, career path opportunities, and job security; these guarantees are indispensable to the success of Colorado State University and its ability to meet its obligations to students and the public.  </w:t>
      </w:r>
    </w:p>
    <w:p w14:paraId="3002EF91"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A university exists because of its students; without students, a research university would be a think tank. In acknowledgement of the vital role that students, faculty, teaching, and learning play at the university, CSU has articulated repeatedly its aims for excellence in teaching. CSU’s mission statement asserts that “CSU is committed to excellence, setting the standard for public research universities in teaching, research, service, and extension for the benefit of the citizens of Colorado, the United States and the world.” We note that excellence in teaching is the first tenet. In the list of CSU Values, “Support excellence in teaching and research” is included. To value and support teaching requires that an employing institution recognize and reward teachers who actively and successfully engage in the teaching enterprise. Furthermore, this values statement equates teaching and research but these two facets of the RI institution are not valued equally. </w:t>
      </w:r>
    </w:p>
    <w:p w14:paraId="7BAD609E"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CSU is not alone in emphasizing research over teaching. Ernst L. Boyer wrote in his 1990 article “Scholarship Reconsidered: Priorities of the Professorate” that “Almost all colleges pay lip service to the trilogy of teaching, research, and service, but when it comes to making judgments about professional performance, the three rarely are assigned equal merit…Basic research has come to be viewed as the first and most essential form of scholarly activity” (p. 15). However, as the host institution of The Reinvention Center, a national organization focusing on how undergraduates are educated at research universities, CSU knows, perhaps more than other institutions, that universities cannot be sustained through research alone. In fact, Boyer asserted that teaching is essential to the production of knowledge and to the sustaining of relevance to undergraduate audiences: “In the end, inspired teaching keeps the flame of scholarship alive…Without the teaching function, the continuity of knowledge will be broken and the store of human knowledge dangerously diminished” (p. 24). We believe that The Reinvention Center can play a key role in justifying and shaping the implementation of revised faculty appointments.</w:t>
      </w:r>
    </w:p>
    <w:p w14:paraId="45609086"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The centrality of teaching to CSU, and other research universities, cannot be overstated, but in order for teaching to be valued as equal to research, we must change the ways in which we value and prioritize teaching. Boyer argued that scholarship consists of four distinct components: discovery, integration, application, and teaching. By recognizing these aspects and cultivating them, Boyer hoped that universities could reinvent themselves as more effective centers of scholarship in the broadest sense of the word.</w:t>
      </w:r>
    </w:p>
    <w:p w14:paraId="249539BA" w14:textId="42B7D18D" w:rsidR="005D3DF7" w:rsidRPr="00EE35F4" w:rsidRDefault="005D3DF7" w:rsidP="005D3DF7">
      <w:pPr>
        <w:spacing w:before="240" w:after="120"/>
        <w:ind w:firstLine="0"/>
        <w:rPr>
          <w:rFonts w:asciiTheme="majorHAnsi" w:hAnsiTheme="majorHAnsi"/>
        </w:rPr>
      </w:pPr>
      <w:r w:rsidRPr="00EE35F4">
        <w:rPr>
          <w:rFonts w:asciiTheme="majorHAnsi" w:hAnsiTheme="majorHAnsi"/>
        </w:rPr>
        <w:t>CSU’s 2011-2015 Strategic Plan states as a goal for Teaching and Learning that the university seek to “Assure excellence in academic programs” (p. 4) and “Create distinctive undergraduate experiences” (p. 5). This assurance sits alongside the university’s first guiding principle that “</w:t>
      </w:r>
      <w:r w:rsidRPr="00EE35F4">
        <w:rPr>
          <w:rFonts w:asciiTheme="majorHAnsi" w:hAnsiTheme="majorHAnsi"/>
          <w:shd w:val="clear" w:color="auto" w:fill="FFFDF9"/>
        </w:rPr>
        <w:t>CSU is a community dedicated to higher learning in which all members share in pursuit of knowledge, development of students, and protection of essential conditions conducive for learning,” To live up to its stated goals, CSU must now change how it supports teachers and teaching, students and learning.</w:t>
      </w:r>
    </w:p>
    <w:p w14:paraId="0BD44E45"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shd w:val="clear" w:color="auto" w:fill="FFFDF9"/>
        </w:rPr>
        <w:t xml:space="preserve">In fact, the December 30, 2015 report </w:t>
      </w:r>
      <w:r w:rsidRPr="00EE35F4">
        <w:rPr>
          <w:rFonts w:asciiTheme="majorHAnsi" w:hAnsiTheme="majorHAnsi"/>
        </w:rPr>
        <w:t>from the 2015 University Distinguished Teaching Scholars/TILT Task Force on assessing teaching effectiveness outlined the ways in which a shift toward fuller valuing of the scholarship of teaching could take place. Drawing on CSU’s commitment to teaching excellence, the report states that, “We are a community of teachers and scholars…We should value and support the scholarship of teaching and learning, discipline-</w:t>
      </w:r>
      <w:r w:rsidRPr="00EE35F4">
        <w:rPr>
          <w:rFonts w:asciiTheme="majorHAnsi" w:hAnsiTheme="majorHAnsi"/>
        </w:rPr>
        <w:lastRenderedPageBreak/>
        <w:t>based educational research, and learning science…We should recognize teaching excellence” (p. 2). The extensive assessment of teaching effectiveness described in the report illustrates the function of teaching as scholarship.</w:t>
      </w:r>
    </w:p>
    <w:p w14:paraId="6ACB5B4B"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In describing how teaching functions as scholarship, Boyer outlined the central responsibilities of teaching scholars. They must be</w:t>
      </w:r>
    </w:p>
    <w:p w14:paraId="167A4F39" w14:textId="77777777" w:rsidR="005D3DF7" w:rsidRPr="00EE35F4" w:rsidRDefault="005D3DF7" w:rsidP="00B55FC2">
      <w:pPr>
        <w:numPr>
          <w:ilvl w:val="0"/>
          <w:numId w:val="39"/>
        </w:numPr>
        <w:spacing w:before="240" w:after="120"/>
        <w:ind w:left="720" w:hanging="360"/>
        <w:rPr>
          <w:rFonts w:asciiTheme="majorHAnsi" w:hAnsiTheme="majorHAnsi"/>
        </w:rPr>
      </w:pPr>
      <w:r w:rsidRPr="00EE35F4">
        <w:rPr>
          <w:rFonts w:asciiTheme="majorHAnsi" w:hAnsiTheme="majorHAnsi"/>
        </w:rPr>
        <w:t>Engaged in professional development: “Those who teach must, above all, be well informed, and steeped in the knowledge of their fields. Teaching can be well regarded only as professors are widely read and intellectually engaged” (p. 23).</w:t>
      </w:r>
    </w:p>
    <w:p w14:paraId="6D3E04A9" w14:textId="77777777" w:rsidR="005D3DF7" w:rsidRPr="00EE35F4" w:rsidRDefault="005D3DF7" w:rsidP="00B55FC2">
      <w:pPr>
        <w:numPr>
          <w:ilvl w:val="0"/>
          <w:numId w:val="39"/>
        </w:numPr>
        <w:spacing w:before="240" w:after="120"/>
        <w:ind w:left="720" w:hanging="360"/>
        <w:rPr>
          <w:rFonts w:asciiTheme="majorHAnsi" w:hAnsiTheme="majorHAnsi"/>
        </w:rPr>
      </w:pPr>
      <w:r w:rsidRPr="00EE35F4">
        <w:rPr>
          <w:rFonts w:asciiTheme="majorHAnsi" w:hAnsiTheme="majorHAnsi"/>
        </w:rPr>
        <w:t>Deliberately planning and reinventing their courses each time the course is taught: “Pedagogical procedures must be carefully planned, continuously examined, and relate directly to the subject taught” (p. 24).</w:t>
      </w:r>
    </w:p>
    <w:p w14:paraId="7F45C81E" w14:textId="77777777" w:rsidR="005D3DF7" w:rsidRPr="00EE35F4" w:rsidRDefault="005D3DF7" w:rsidP="00B55FC2">
      <w:pPr>
        <w:numPr>
          <w:ilvl w:val="0"/>
          <w:numId w:val="39"/>
        </w:numPr>
        <w:spacing w:before="240" w:after="120"/>
        <w:ind w:left="720" w:hanging="360"/>
        <w:rPr>
          <w:rFonts w:asciiTheme="majorHAnsi" w:hAnsiTheme="majorHAnsi"/>
        </w:rPr>
      </w:pPr>
      <w:r w:rsidRPr="00EE35F4">
        <w:rPr>
          <w:rFonts w:asciiTheme="majorHAnsi" w:hAnsiTheme="majorHAnsi"/>
        </w:rPr>
        <w:t>“Stimulat[ing] active, not passive, learning and encourag[ing] students to be critical, creative thinkers, with the capacity to go on learning after their college days are over” (p. 24).</w:t>
      </w:r>
    </w:p>
    <w:p w14:paraId="331B2980"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The recommendations made by TILT’s Task Force in its report on teaching effectiveness directly correspond to Boyer’s outline. The Task Force recommends that evaluations of teaching effectiveness should include an evidence-based approach, using multiple sources including peer reviews (p. 2). Among these multiple sources, they indicate that professional development activities, course development, course innovation, and student learning outcomes should all play a role in evaluating teaching effectiveness. These many primary sources of data become the evidence of teaching scholarship, the objective proof that important and substantial original work is being done in the field of teaching.</w:t>
      </w:r>
    </w:p>
    <w:p w14:paraId="3413DE0E" w14:textId="6D782A3D"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The evaluation is the place where in all of this scholarship might be reviewed and celebrated. In order to encourage the scholarship of teaching, to cultivate it and revitalize its central place in the university's mission, values, and strategic plan, “Good teaching should be rewarded” (p. 1), as the TILT Task Force puts it. If this is to happen, then college teacher must be demonstrably valued through </w:t>
      </w:r>
      <w:r w:rsidR="00905B2C" w:rsidRPr="00EE35F4">
        <w:rPr>
          <w:rFonts w:asciiTheme="majorHAnsi" w:hAnsiTheme="majorHAnsi"/>
        </w:rPr>
        <w:t>social recognitions</w:t>
      </w:r>
      <w:r w:rsidRPr="00EE35F4">
        <w:rPr>
          <w:rFonts w:asciiTheme="majorHAnsi" w:hAnsiTheme="majorHAnsi"/>
        </w:rPr>
        <w:t xml:space="preserve"> and </w:t>
      </w:r>
      <w:r w:rsidR="00905B2C" w:rsidRPr="00EE35F4">
        <w:rPr>
          <w:rFonts w:asciiTheme="majorHAnsi" w:hAnsiTheme="majorHAnsi"/>
        </w:rPr>
        <w:t>rewards and</w:t>
      </w:r>
      <w:r w:rsidRPr="00EE35F4">
        <w:rPr>
          <w:rFonts w:asciiTheme="majorHAnsi" w:hAnsiTheme="majorHAnsi"/>
        </w:rPr>
        <w:t xml:space="preserve"> through improvements to salary as an investment in teachers and the health of their livelihoods.  </w:t>
      </w:r>
    </w:p>
    <w:p w14:paraId="793A8EA8"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In “Reinventing Undergraduate Education: A Blueprint for America’s Research Universities” (1998), The Boyer Commission on Educating Undergraduates in the Research University made a related argument. The report articulated several recommendations for recognition and reward, specifically that</w:t>
      </w:r>
    </w:p>
    <w:p w14:paraId="567FBF7C" w14:textId="77777777" w:rsidR="005D3DF7" w:rsidRPr="00EE35F4" w:rsidRDefault="005D3DF7" w:rsidP="00B55FC2">
      <w:pPr>
        <w:numPr>
          <w:ilvl w:val="0"/>
          <w:numId w:val="13"/>
        </w:numPr>
        <w:spacing w:before="240" w:after="120"/>
        <w:ind w:hanging="360"/>
        <w:rPr>
          <w:rFonts w:asciiTheme="majorHAnsi" w:hAnsiTheme="majorHAnsi"/>
        </w:rPr>
      </w:pPr>
      <w:r w:rsidRPr="00EE35F4">
        <w:rPr>
          <w:rFonts w:asciiTheme="majorHAnsi" w:hAnsiTheme="majorHAnsi"/>
        </w:rPr>
        <w:t>“Those individuals capable of striking success in the classroom should be suitably rewarded. Recognition as distinguished teacher-scholars should include added remuneration” (p. 33).</w:t>
      </w:r>
    </w:p>
    <w:p w14:paraId="7DE1ED02" w14:textId="77777777" w:rsidR="005D3DF7" w:rsidRPr="00EE35F4" w:rsidRDefault="005D3DF7" w:rsidP="00B55FC2">
      <w:pPr>
        <w:numPr>
          <w:ilvl w:val="0"/>
          <w:numId w:val="13"/>
        </w:numPr>
        <w:spacing w:before="240" w:after="120"/>
        <w:ind w:hanging="360"/>
        <w:rPr>
          <w:rFonts w:asciiTheme="majorHAnsi" w:hAnsiTheme="majorHAnsi"/>
        </w:rPr>
      </w:pPr>
      <w:r w:rsidRPr="00EE35F4">
        <w:rPr>
          <w:rFonts w:asciiTheme="majorHAnsi" w:hAnsiTheme="majorHAnsi"/>
        </w:rPr>
        <w:t>“The correlation between good undergraduate teaching and good research must be recognized in promotion and tenure decisions” (p. 33).</w:t>
      </w:r>
    </w:p>
    <w:p w14:paraId="5F4E5452" w14:textId="77777777" w:rsidR="005D3DF7" w:rsidRPr="00EE35F4" w:rsidRDefault="005D3DF7" w:rsidP="00B55FC2">
      <w:pPr>
        <w:numPr>
          <w:ilvl w:val="0"/>
          <w:numId w:val="13"/>
        </w:numPr>
        <w:spacing w:before="240" w:after="120"/>
        <w:ind w:hanging="360"/>
        <w:rPr>
          <w:rFonts w:asciiTheme="majorHAnsi" w:hAnsiTheme="majorHAnsi"/>
        </w:rPr>
      </w:pPr>
      <w:r w:rsidRPr="00EE35F4">
        <w:rPr>
          <w:rFonts w:asciiTheme="majorHAnsi" w:hAnsiTheme="majorHAnsi"/>
        </w:rPr>
        <w:t>“A ‘culture of teaching’ within departments should be cultivated to heighten the prestige of teaching and emphasize the linkages between teaching and research” (p. 33).</w:t>
      </w:r>
    </w:p>
    <w:p w14:paraId="5B05AB86" w14:textId="77777777" w:rsidR="005D3DF7" w:rsidRPr="00EE35F4" w:rsidRDefault="005D3DF7" w:rsidP="00B55FC2">
      <w:pPr>
        <w:numPr>
          <w:ilvl w:val="0"/>
          <w:numId w:val="13"/>
        </w:numPr>
        <w:spacing w:before="240" w:after="120"/>
        <w:ind w:hanging="360"/>
        <w:rPr>
          <w:rFonts w:asciiTheme="majorHAnsi" w:hAnsiTheme="majorHAnsi"/>
        </w:rPr>
      </w:pPr>
      <w:r w:rsidRPr="00EE35F4">
        <w:rPr>
          <w:rFonts w:asciiTheme="majorHAnsi" w:hAnsiTheme="majorHAnsi"/>
        </w:rPr>
        <w:t>“Rewards for teaching excellence, for participation in interdisciplinary programs, and for outstanding mentorship need to be in the form of permanent salary increases rather than one-time awards” (p. 34).</w:t>
      </w:r>
    </w:p>
    <w:p w14:paraId="03921670" w14:textId="77777777" w:rsidR="005D3DF7" w:rsidRPr="00EE35F4" w:rsidRDefault="005D3DF7" w:rsidP="00B55FC2">
      <w:pPr>
        <w:numPr>
          <w:ilvl w:val="0"/>
          <w:numId w:val="13"/>
        </w:numPr>
        <w:spacing w:before="240" w:after="120"/>
        <w:ind w:hanging="360"/>
        <w:rPr>
          <w:rFonts w:asciiTheme="majorHAnsi" w:hAnsiTheme="majorHAnsi"/>
        </w:rPr>
      </w:pPr>
      <w:r w:rsidRPr="00EE35F4">
        <w:rPr>
          <w:rFonts w:asciiTheme="majorHAnsi" w:hAnsiTheme="majorHAnsi"/>
        </w:rPr>
        <w:lastRenderedPageBreak/>
        <w:t>“Teachers capable of inspiring performance in large classes should be recognized and rewarded appropriately” (p. 34).</w:t>
      </w:r>
    </w:p>
    <w:p w14:paraId="1673899A"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In a market economy such as the one we belong to, rewards and remuneration are the expected outcome of valuing something and demonstrating that value. As TILT’s report reiterates: “Teaching is central to the mission of a university and high levels of teaching effectiveness should be encouraged and rewarded. Meaningful assessments of teaching effectiveness should contribute to the calculation of merit-based salary increases, promotion and tenure decisions, retention of faculty, and consideration for teaching awards within and beyond the university” (p. 7). If teaching is valuable to CSU, we must recreate the ways in which we prove that to be true to students, the public, and the faculty.</w:t>
      </w:r>
    </w:p>
    <w:p w14:paraId="69729449"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While teaching has suffered from a lack of reward and remuneration, perhaps out of budgetary concerns, its centrality to the mission of the university makes the lack of investment, support, and explicit value particularly problematic to an institution that purports excellence in undergraduate education.</w:t>
      </w:r>
    </w:p>
    <w:p w14:paraId="6BAFAF53" w14:textId="067AB44F" w:rsidR="005D3DF7" w:rsidRPr="00EE35F4" w:rsidRDefault="005D3DF7" w:rsidP="005D3DF7">
      <w:pPr>
        <w:spacing w:before="240" w:after="120"/>
        <w:ind w:firstLine="0"/>
        <w:rPr>
          <w:rFonts w:asciiTheme="majorHAnsi" w:hAnsiTheme="majorHAnsi"/>
        </w:rPr>
      </w:pPr>
      <w:r w:rsidRPr="00EE35F4">
        <w:rPr>
          <w:rFonts w:asciiTheme="majorHAnsi" w:hAnsiTheme="majorHAnsi"/>
        </w:rPr>
        <w:t>One of the obstacles to this change lies in the organization of the university. In “Reinventing Undergraduate Education,” the Boyer Commission described this problem: “Departments necessarily think in terms of protecting and advancing their own interests, defined in terms of numbers of faculty, courses, and majors. Initiatives for change coming from sources outside departments are viewed as threats rather than opportunities. New decisions on distributing resources must be carried out at the highest levels in the university, and they can be expected to meet little enthusiasm from those whose interests are protected by existing systems” (p. 14). Essentially, the economics and rewards of the university operate in such a way that department and unit heads are unable to compensate effective teachers as effectively as they might if they were not competing continuously for resources. If there is to be, as TILT’s report encourages, “the campus-wide adoption of valid, rigorous processes for assessing and rewarding teaching activities” (p. 1), then substantial institutional change must occur not just in how we evaluate teaching effectiveness and describe teaching scholarship, but in how we hire, reappoint, promote, title, and compensate all teaching faculty and the departments that employ them.</w:t>
      </w:r>
    </w:p>
    <w:p w14:paraId="4DE5F831" w14:textId="77777777" w:rsidR="005D3DF7" w:rsidRPr="00EE35F4" w:rsidRDefault="005D3DF7" w:rsidP="005D3DF7">
      <w:pPr>
        <w:spacing w:before="240" w:after="120"/>
        <w:rPr>
          <w:rFonts w:asciiTheme="majorHAnsi" w:hAnsiTheme="majorHAnsi"/>
        </w:rPr>
      </w:pPr>
      <w:r w:rsidRPr="00EE35F4">
        <w:rPr>
          <w:rFonts w:asciiTheme="majorHAnsi" w:hAnsiTheme="majorHAnsi"/>
        </w:rPr>
        <w:t>Ten years ago, then Provost Frank identified 6 Rs to improve conditions for NTTF (See Appendix E). While progress has been made toward these recommendations, the most important changes have not yet been realized. This proposal seeks to make the 6 Rs a reality for NTTF.</w:t>
      </w:r>
      <w:bookmarkStart w:id="12" w:name="h.17dp8vu" w:colFirst="0" w:colLast="0"/>
      <w:bookmarkStart w:id="13" w:name="_Toc452993099"/>
      <w:bookmarkEnd w:id="12"/>
    </w:p>
    <w:p w14:paraId="0A6F3F27" w14:textId="77777777" w:rsidR="005D3DF7" w:rsidRPr="00EE35F4" w:rsidRDefault="005D3DF7" w:rsidP="005D3DF7">
      <w:pPr>
        <w:spacing w:before="240" w:after="120"/>
        <w:ind w:firstLine="0"/>
        <w:rPr>
          <w:rFonts w:asciiTheme="majorHAnsi" w:hAnsiTheme="majorHAnsi"/>
        </w:rPr>
      </w:pPr>
    </w:p>
    <w:p w14:paraId="68D67C5A" w14:textId="77777777" w:rsidR="005D3DF7" w:rsidRPr="00EE35F4" w:rsidRDefault="005D3DF7" w:rsidP="005D3DF7">
      <w:pPr>
        <w:rPr>
          <w:rFonts w:asciiTheme="majorHAnsi" w:hAnsiTheme="majorHAnsi"/>
          <w:b/>
          <w:sz w:val="32"/>
          <w:szCs w:val="32"/>
        </w:rPr>
      </w:pPr>
      <w:r w:rsidRPr="00EE35F4">
        <w:rPr>
          <w:rFonts w:asciiTheme="majorHAnsi" w:hAnsiTheme="majorHAnsi"/>
          <w:b/>
          <w:sz w:val="32"/>
          <w:szCs w:val="32"/>
        </w:rPr>
        <w:br w:type="page"/>
      </w:r>
    </w:p>
    <w:p w14:paraId="076D89F3" w14:textId="77777777" w:rsidR="005D3DF7" w:rsidRPr="00AC731B" w:rsidRDefault="005D3DF7" w:rsidP="005D3DF7">
      <w:pPr>
        <w:spacing w:before="240" w:after="120"/>
        <w:ind w:firstLine="0"/>
        <w:rPr>
          <w:rFonts w:asciiTheme="majorHAnsi" w:hAnsiTheme="majorHAnsi"/>
          <w:b/>
          <w:color w:val="003300"/>
        </w:rPr>
      </w:pPr>
      <w:r w:rsidRPr="00AC731B">
        <w:rPr>
          <w:rFonts w:asciiTheme="majorHAnsi" w:hAnsiTheme="majorHAnsi"/>
          <w:b/>
          <w:color w:val="003300"/>
          <w:sz w:val="32"/>
          <w:szCs w:val="32"/>
        </w:rPr>
        <w:lastRenderedPageBreak/>
        <w:t>The Context for this Proposal</w:t>
      </w:r>
      <w:bookmarkEnd w:id="13"/>
    </w:p>
    <w:p w14:paraId="1051EF6B"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The information available about the University’s various missions, centers, foci, strategic plans, calls to action by Administration, and momentum from the past two decades to shift non-tenure-track faculty (NTTF) positions (Appendix B) reveals that we are poised now to make the necessary transformations to secure the future of quality education at Colorado State University (CSU). At present, there is a discrepancy between the current state of NTTF at CSU and the vision that drives our community to improve and change. </w:t>
      </w:r>
    </w:p>
    <w:p w14:paraId="325AA1EE" w14:textId="1C259D5E" w:rsidR="005D3DF7" w:rsidRPr="00EE35F4" w:rsidRDefault="005D3DF7" w:rsidP="005D3DF7">
      <w:pPr>
        <w:spacing w:before="240" w:after="120"/>
        <w:ind w:firstLine="0"/>
        <w:rPr>
          <w:rFonts w:asciiTheme="majorHAnsi" w:hAnsiTheme="majorHAnsi"/>
        </w:rPr>
      </w:pPr>
      <w:r w:rsidRPr="00EE35F4">
        <w:rPr>
          <w:rFonts w:asciiTheme="majorHAnsi" w:hAnsiTheme="majorHAnsi"/>
        </w:rPr>
        <w:t>Currently, CSU employs 728 NTTF, and that number has grown substantially over the last 40 years, which has significantly altered the makeup of the faculty, the nature of their responsibilities, and the impact their circumstances have on the CSU community. While improvements have been made by the Committee on Non</w:t>
      </w:r>
      <w:r w:rsidR="004725D0" w:rsidRPr="00EE35F4">
        <w:rPr>
          <w:rFonts w:asciiTheme="majorHAnsi" w:hAnsiTheme="majorHAnsi"/>
        </w:rPr>
        <w:t xml:space="preserve"> </w:t>
      </w:r>
      <w:r w:rsidRPr="00EE35F4">
        <w:rPr>
          <w:rFonts w:asciiTheme="majorHAnsi" w:hAnsiTheme="majorHAnsi"/>
        </w:rPr>
        <w:t xml:space="preserve">Tenure-Track Faculty (CoNTTF) and other campus groups representing the interests of teaching </w:t>
      </w:r>
      <w:r w:rsidR="00884789" w:rsidRPr="00EE35F4">
        <w:rPr>
          <w:rFonts w:asciiTheme="majorHAnsi" w:hAnsiTheme="majorHAnsi"/>
        </w:rPr>
        <w:t>faculty,</w:t>
      </w:r>
      <w:r w:rsidRPr="00EE35F4">
        <w:rPr>
          <w:rFonts w:asciiTheme="majorHAnsi" w:hAnsiTheme="majorHAnsi"/>
        </w:rPr>
        <w:t xml:space="preserve"> as illustrated in the Phases of Development section and particularly Phases 1 and 2, these efforts have thus far have only nibbled around the edges of the issues facing NTTF and the students at CSU.</w:t>
      </w:r>
    </w:p>
    <w:p w14:paraId="5A02FAEE" w14:textId="20B9DB68" w:rsidR="005D3DF7" w:rsidRPr="00AC731B" w:rsidRDefault="00AC731B" w:rsidP="005D3DF7">
      <w:pPr>
        <w:pStyle w:val="Heading3"/>
        <w:rPr>
          <w:color w:val="003300"/>
        </w:rPr>
      </w:pPr>
      <w:r>
        <w:rPr>
          <w:color w:val="003300"/>
        </w:rPr>
        <w:t xml:space="preserve">The State of Faculty off of the Tenure Track </w:t>
      </w:r>
      <w:r w:rsidR="005D3DF7" w:rsidRPr="00AC731B">
        <w:rPr>
          <w:color w:val="003300"/>
        </w:rPr>
        <w:t>at CSU</w:t>
      </w:r>
    </w:p>
    <w:p w14:paraId="3F6163A3" w14:textId="212B339A"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According to the 2015-16 </w:t>
      </w:r>
      <w:r w:rsidRPr="00EE35F4">
        <w:rPr>
          <w:rFonts w:asciiTheme="majorHAnsi" w:hAnsiTheme="majorHAnsi"/>
          <w:i/>
        </w:rPr>
        <w:t xml:space="preserve">Fact Book, </w:t>
      </w:r>
      <w:r w:rsidRPr="00EE35F4">
        <w:rPr>
          <w:rFonts w:asciiTheme="majorHAnsi" w:hAnsiTheme="majorHAnsi"/>
        </w:rPr>
        <w:t>CSU is a large Comprehensive Public Research University, with more than 31,500 students and 7,126 employees, of which 1,789 are faculty members. In 2009, NTTF (449 individuals) made up approximately 33% of the total faculty (Provost’s Task Force, p. 1); in 2015-16, this had grown to 728 senior teaching, special, and temporary faculty, a 30% increase to 41% of the total faculty (</w:t>
      </w:r>
      <w:r w:rsidRPr="00EE35F4">
        <w:rPr>
          <w:rFonts w:asciiTheme="majorHAnsi" w:hAnsiTheme="majorHAnsi"/>
          <w:i/>
        </w:rPr>
        <w:t xml:space="preserve">Fact Book). </w:t>
      </w:r>
      <w:r w:rsidRPr="00EE35F4">
        <w:rPr>
          <w:rFonts w:asciiTheme="majorHAnsi" w:hAnsiTheme="majorHAnsi"/>
        </w:rPr>
        <w:t>Since 2004-05, the number of special and temporary faculty has increased by over 125% (</w:t>
      </w:r>
      <w:r w:rsidRPr="00EE35F4">
        <w:rPr>
          <w:rFonts w:asciiTheme="majorHAnsi" w:hAnsiTheme="majorHAnsi"/>
          <w:i/>
        </w:rPr>
        <w:t xml:space="preserve">Fact Book, </w:t>
      </w:r>
      <w:r w:rsidRPr="00EE35F4">
        <w:rPr>
          <w:rFonts w:asciiTheme="majorHAnsi" w:hAnsiTheme="majorHAnsi"/>
        </w:rPr>
        <w:t>p.</w:t>
      </w:r>
      <w:r w:rsidR="00884789">
        <w:rPr>
          <w:rFonts w:asciiTheme="majorHAnsi" w:hAnsiTheme="majorHAnsi"/>
        </w:rPr>
        <w:t xml:space="preserve"> </w:t>
      </w:r>
      <w:r w:rsidRPr="00EE35F4">
        <w:rPr>
          <w:rFonts w:asciiTheme="majorHAnsi" w:hAnsiTheme="majorHAnsi"/>
        </w:rPr>
        <w:t>122). Faculty members on non-tenure-track appointments teach over 60% of the undergraduate credit hours. NTTF, then, not only make up a significant portion of the faculty but are essential to CSU’s ability to meet student needs and provide quality instruction.</w:t>
      </w:r>
    </w:p>
    <w:p w14:paraId="163842A1"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Currently, NTTF are defined as those belonging to any of the following categories of employees, as consistent with Sections D and E of the </w:t>
      </w:r>
      <w:r w:rsidRPr="00EE35F4">
        <w:rPr>
          <w:rFonts w:asciiTheme="majorHAnsi" w:hAnsiTheme="majorHAnsi"/>
          <w:i/>
        </w:rPr>
        <w:t>Manual</w:t>
      </w:r>
      <w:r w:rsidRPr="00EE35F4">
        <w:rPr>
          <w:rFonts w:asciiTheme="majorHAnsi" w:hAnsiTheme="majorHAnsi"/>
        </w:rPr>
        <w:t xml:space="preserve">: 1) Temporary faculty 2) Special Appointment faculty 3) Senior Teaching Appointments and 4) Joint Academic and Administrative Professionals. Of the 728 NTTF, 36% are on temporary appointments, 57.6% are on special appointments, and 6.3% hold a senior teaching appointment. Though more than half of these faculty have been working at CSU for more than 10 years, less than half have a commitment from CSU for more than a year at a time. As of 2014, less than 20% of NTTF are on multi-year contracts and many long-term NTTF are not on Senior Teaching Appointments nor do they have the security of bridge funding for their next research project. </w:t>
      </w:r>
    </w:p>
    <w:p w14:paraId="0760C8DF"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For the academic year 2015-16, the largest number of faculty on temporary appointments worked in the Colleges of Liberal Arts (88), Health &amp; Human Sciences (78), and Business (30) (</w:t>
      </w:r>
      <w:r w:rsidRPr="00EE35F4">
        <w:rPr>
          <w:rFonts w:asciiTheme="majorHAnsi" w:hAnsiTheme="majorHAnsi"/>
          <w:i/>
        </w:rPr>
        <w:t xml:space="preserve">Fact Book, </w:t>
      </w:r>
      <w:r w:rsidRPr="00EE35F4">
        <w:rPr>
          <w:rFonts w:asciiTheme="majorHAnsi" w:hAnsiTheme="majorHAnsi"/>
        </w:rPr>
        <w:t>p. 69). The largest number of special appointment faculty worked in the Colleges of Liberal Arts (224), Health and Human Sciences (60), and Veterinary Medicine and Biological Science (75) (</w:t>
      </w:r>
      <w:r w:rsidRPr="00EE35F4">
        <w:rPr>
          <w:rFonts w:asciiTheme="majorHAnsi" w:hAnsiTheme="majorHAnsi"/>
          <w:i/>
        </w:rPr>
        <w:t xml:space="preserve">Fact Book, </w:t>
      </w:r>
      <w:r w:rsidRPr="00EE35F4">
        <w:rPr>
          <w:rFonts w:asciiTheme="majorHAnsi" w:hAnsiTheme="majorHAnsi"/>
        </w:rPr>
        <w:t>p. 69).</w:t>
      </w:r>
    </w:p>
    <w:p w14:paraId="2706D733" w14:textId="1826D810"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NTTF in these appointment types are typically more specialized than regular faculty in that their workloads do not necessarily encompass the full triad of teaching, research, and service. According to a 2014 study on NTTF by the Center for the Study of Academic Labor (CSAL), 90% of respondents indicated that teaching formed some portion of their workload, while 8% cited no teaching among their responsibilities. At the same time, while 57% reported no research responsibilities, 16% reported that research comprised more than half of their workload distribution. Among NTTF, 36% reported having no service responsibilities, while 26% reported that service comprised less than 10% of their workload. The majority of NTTF, then, are engaged in teaching as their central contribution to CSU’s mission. Additionally, while some </w:t>
      </w:r>
      <w:r w:rsidRPr="00EE35F4">
        <w:rPr>
          <w:rFonts w:asciiTheme="majorHAnsi" w:hAnsiTheme="majorHAnsi"/>
        </w:rPr>
        <w:lastRenderedPageBreak/>
        <w:t>faculty may not have a service component that is designated specifically as part of their workload and responsibilities at CSU, service i</w:t>
      </w:r>
      <w:r w:rsidR="00884789">
        <w:rPr>
          <w:rFonts w:asciiTheme="majorHAnsi" w:hAnsiTheme="majorHAnsi"/>
        </w:rPr>
        <w:t>s nonetheless part of many NTTFs</w:t>
      </w:r>
      <w:r w:rsidRPr="00EE35F4">
        <w:rPr>
          <w:rFonts w:asciiTheme="majorHAnsi" w:hAnsiTheme="majorHAnsi"/>
        </w:rPr>
        <w:t>’ jobs. A plethora of data from CSAL and CoNTTF’s anecdotal collection suggest</w:t>
      </w:r>
      <w:r w:rsidR="004725D0" w:rsidRPr="00EE35F4">
        <w:rPr>
          <w:rFonts w:asciiTheme="majorHAnsi" w:hAnsiTheme="majorHAnsi"/>
        </w:rPr>
        <w:t>e</w:t>
      </w:r>
      <w:r w:rsidRPr="00EE35F4">
        <w:rPr>
          <w:rFonts w:asciiTheme="majorHAnsi" w:hAnsiTheme="majorHAnsi"/>
        </w:rPr>
        <w:t>d that NTTF are filling many service gaps across the University, and generally without remuneration or recognition—two of the Provost’s 6 R’s.</w:t>
      </w:r>
    </w:p>
    <w:p w14:paraId="4C7A7E3E"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Perhaps not surprisingly, nearly 60% of these teaching-focused NTTF are women. While 37% of all tenure-track faculty at CSU are women, 427 out of the 728 or 59% NTTF are women. Moreover, while rank can be awarded to faculty on both tenure-track and non-tenure track appointment types, 77% percent of NTTF hold the rank of instructor, with only 17% serving as assistant professors and 3% as full and associate professors. Although the Fact Book does not capture information about degrees held by these faculty, anecdotal evidence indicates that a significant portion of those holding the rank of instructor hold a PhD or other terminal degree in their field (2014 CSAL Report). </w:t>
      </w:r>
    </w:p>
    <w:p w14:paraId="1249EBA4" w14:textId="13994F7D" w:rsidR="005D3DF7" w:rsidRPr="00EE35F4" w:rsidRDefault="005D3DF7" w:rsidP="005D3DF7">
      <w:pPr>
        <w:spacing w:before="240" w:after="120"/>
        <w:ind w:firstLine="0"/>
        <w:rPr>
          <w:rFonts w:asciiTheme="majorHAnsi" w:hAnsiTheme="majorHAnsi"/>
        </w:rPr>
      </w:pPr>
      <w:r w:rsidRPr="00EE35F4">
        <w:rPr>
          <w:rFonts w:asciiTheme="majorHAnsi" w:hAnsiTheme="majorHAnsi"/>
        </w:rPr>
        <w:t>What these statistics show is that NTTF faculty are an ever increasing portion of the faculty, but the mechanisms at CSU are not yet robust enough to support a teaching-focused faculty. Too many full-time NTTF are incorrectly holding temporary appointments; too few of these teaching-intensive faculty are being rewarded with Senior Teaching Appointments. NTTF are also not being rewarded with ranks commensurate with their education, ability, and leng</w:t>
      </w:r>
      <w:r w:rsidR="004D1BD3" w:rsidRPr="00EE35F4">
        <w:rPr>
          <w:rFonts w:asciiTheme="majorHAnsi" w:hAnsiTheme="majorHAnsi"/>
        </w:rPr>
        <w:t>th</w:t>
      </w:r>
      <w:r w:rsidRPr="00EE35F4">
        <w:rPr>
          <w:rFonts w:asciiTheme="majorHAnsi" w:hAnsiTheme="majorHAnsi"/>
        </w:rPr>
        <w:t xml:space="preserve"> of service to CSU, and there are no clear methods for NTTF to participate in service, community, or shared governance opportunities.</w:t>
      </w:r>
    </w:p>
    <w:p w14:paraId="38E1A142" w14:textId="77777777" w:rsidR="005D3DF7" w:rsidRPr="00AC731B" w:rsidRDefault="005D3DF7" w:rsidP="005D3DF7">
      <w:pPr>
        <w:pStyle w:val="Heading6"/>
        <w:spacing w:before="240" w:after="120"/>
        <w:rPr>
          <w:rFonts w:asciiTheme="majorHAnsi" w:hAnsiTheme="majorHAnsi"/>
          <w:color w:val="003300"/>
        </w:rPr>
      </w:pPr>
      <w:r w:rsidRPr="00AC731B">
        <w:rPr>
          <w:rFonts w:asciiTheme="majorHAnsi" w:hAnsiTheme="majorHAnsi"/>
          <w:color w:val="003300"/>
        </w:rPr>
        <w:t>The current state of NTTF at CSU is concerning since these faculty provide vast and valuable contributions to teaching, research, and scholarship on behalf of CSU without the protections of academic freedom, ongoing job security, and in some instances, recognition for their efforts.</w:t>
      </w:r>
    </w:p>
    <w:p w14:paraId="1B7A41E7" w14:textId="77777777" w:rsidR="000245DC" w:rsidRDefault="000245DC">
      <w:pPr>
        <w:spacing w:after="200" w:line="276" w:lineRule="auto"/>
        <w:ind w:firstLine="0"/>
        <w:rPr>
          <w:rFonts w:asciiTheme="majorHAnsi" w:hAnsiTheme="majorHAnsi"/>
          <w:color w:val="003300"/>
          <w:sz w:val="32"/>
          <w:szCs w:val="24"/>
        </w:rPr>
      </w:pPr>
      <w:r>
        <w:rPr>
          <w:color w:val="003300"/>
          <w:sz w:val="32"/>
        </w:rPr>
        <w:br w:type="page"/>
      </w:r>
    </w:p>
    <w:p w14:paraId="42F44109" w14:textId="1566954C" w:rsidR="005D3DF7" w:rsidRPr="000245DC" w:rsidRDefault="005D3DF7" w:rsidP="000245DC">
      <w:pPr>
        <w:pStyle w:val="Heading3"/>
        <w:spacing w:before="360"/>
        <w:ind w:right="-126"/>
        <w:rPr>
          <w:b/>
          <w:color w:val="003300"/>
          <w:sz w:val="32"/>
        </w:rPr>
      </w:pPr>
      <w:r w:rsidRPr="000245DC">
        <w:rPr>
          <w:b/>
          <w:color w:val="003300"/>
          <w:sz w:val="32"/>
        </w:rPr>
        <w:lastRenderedPageBreak/>
        <w:t>The Problem with Contingency for Full-Time Teaching Faculty</w:t>
      </w:r>
    </w:p>
    <w:p w14:paraId="2F6FCADD"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A strategy of contingent employment of full-time faculty in higher education doesn’t work: The instability associated with contingency is counterproductive to student success and retention, to faculty morale, motivation, and shared governance, to the pursuit of new knowledge development and the free articulate of ideas, and indeed to the vitality and mission of the institution as a whole. We contend that universities bear responsibility for addressing this situation and cannot idly stand by as market approaches erode higher education’s mission. Indeed, we believe that universities which fail to guarantee academic freedom and a voice in faculty governance for all faculty restrict the enterprise of higher education and actively contribute to its demise. CSU’s stated mission of “excellence . . . in teaching, research, service, and extension for the benefit of the citizens of Colorado” requires institutional policy that ends contingency and restores academic freedom and genuine shared governance.</w:t>
      </w:r>
    </w:p>
    <w:p w14:paraId="6EC65CE5"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In various public fora, CSU administration has made the claim that the institution’s “at-will” masses are protected from termination without cause, enjoy academic freedom, and are assured participation in shared governance by the </w:t>
      </w:r>
      <w:r w:rsidRPr="00EE35F4">
        <w:rPr>
          <w:rFonts w:asciiTheme="majorHAnsi" w:hAnsiTheme="majorHAnsi"/>
          <w:i/>
        </w:rPr>
        <w:t>Manual.</w:t>
      </w:r>
      <w:r w:rsidRPr="00EE35F4">
        <w:rPr>
          <w:rFonts w:asciiTheme="majorHAnsi" w:hAnsiTheme="majorHAnsi"/>
        </w:rPr>
        <w:t xml:space="preserve"> This claim represents a disconnect between administration and the university’s own Office of General Counsel, which clarifies that most NTTF serve the university at will and can therefore be “terminated at any time without cause.” All NTTF serve without benefit of grievance procedures since they do not extend to either NTTF who are actively terminated or to victims of non-renewal, which is an unacknowledged though tacit form of passive termination.  Claims that NTTF and administrative professionals participate in shared governance appear equally erroneous when 1,063 regular tenure-track faculty are represented in Faculty Council by numerous departmental and at-large voting members, while 2,883 NTTF and administrative professionals have one voting member representing each group. Furthermore, the number of departments excluding NTTF from voting on departmental matters, even restricting them from attending department meetings and program meetings in which curriculum is developed (often for the very courses NTTF teach), is unknown. </w:t>
      </w:r>
    </w:p>
    <w:p w14:paraId="4AE6AA83" w14:textId="4AF26634"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Here is the backdrop in which this proposal is presented. A 2014 survey of NTTF, undertaken by the Center for the Study of Academic Labor (CSAL), indicates that only 47% of respondents feel valued as professionals and 42% are comfortable with their security/stability of employment. In terms of job satisfaction, the largest gaps were found in areas similar to those found in a parallel survey from 2009 (undertaken by the Provost’s Task Force and on which the 2014 was based for purposes of comparison across time). Respondents in both studies reported feeling under-valued as professionals, dissatisfied with salary inequities, and unfairly treated in comparison to other employee groups at the university. Intangible factors also contributing to dissatisfaction included exclusion from the faculty news in department newsletters, </w:t>
      </w:r>
      <w:r w:rsidR="00884789" w:rsidRPr="00EE35F4">
        <w:rPr>
          <w:rFonts w:asciiTheme="majorHAnsi" w:hAnsiTheme="majorHAnsi"/>
        </w:rPr>
        <w:t>disrespectful interactions</w:t>
      </w:r>
      <w:r w:rsidRPr="00EE35F4">
        <w:rPr>
          <w:rFonts w:asciiTheme="majorHAnsi" w:hAnsiTheme="majorHAnsi"/>
        </w:rPr>
        <w:t xml:space="preserve"> with tenure-line colleagues, and a paucity of recognition of NTTF contributions by departments. </w:t>
      </w:r>
    </w:p>
    <w:p w14:paraId="0E283E08" w14:textId="2C63F90B" w:rsidR="005D3DF7" w:rsidRPr="00EE35F4" w:rsidRDefault="005D3DF7" w:rsidP="005D3DF7">
      <w:pPr>
        <w:spacing w:before="240" w:after="120"/>
        <w:ind w:firstLine="0"/>
        <w:rPr>
          <w:rFonts w:asciiTheme="majorHAnsi" w:hAnsiTheme="majorHAnsi"/>
        </w:rPr>
      </w:pPr>
      <w:r w:rsidRPr="00EE35F4">
        <w:rPr>
          <w:rFonts w:asciiTheme="majorHAnsi" w:hAnsiTheme="majorHAnsi"/>
        </w:rPr>
        <w:t>Additionally, NTTF reported feeling deeply concerned about their futures and only 38% of reported full understanding of their own rehire processes while over a quarter of those responding (27%) were unsure about their eligibility for promotion or merit pay raises. These indicators suggest that standard features of faculty employment are not adequately explained to NTTF, such as hiring and rehiring practices, compensation, and the potential for obtaining rank and promotion. These important areas need to be addressed, particularly given that similar results were found in 2009 and a better culture for NTTF has presumably been forged in the intervening years. It is important to add that the majority of respondents from this 2014 study do not see their current work at CSU as a stepping stone to another position; rather NTTF perceive themselves as both undervalued and “stuck” or paralyzed in unsatisfactory situations.</w:t>
      </w:r>
    </w:p>
    <w:p w14:paraId="38E07599"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lastRenderedPageBreak/>
        <w:t xml:space="preserve">Finally, the importance of academic freedom was also reported as a central though absent contributor to job satisfaction for NTTF at CSU. We contend that contractual arrangements provide the most direct path toward remedying this inadequacy. However, despite the 2012 passage of HB1144 by the Colorado General Assembly, the bill’s signing into law by Governor John Hickenlooper, and the consent of the CSU Board of Governors that approved the use of binding teaching contracts of 1-3 years in length, fewer than 19% of NTTF reported having contracts as of 2014. It thus appears that the hard-earned progress obtained through legislative action sponsored by duly elected officials has been greeted by something less than full and enthusiastic support/compliance from the university.  </w:t>
      </w:r>
    </w:p>
    <w:p w14:paraId="160C4D5F" w14:textId="77777777" w:rsidR="005D3DF7" w:rsidRPr="00EE35F4" w:rsidRDefault="005D3DF7" w:rsidP="005D3DF7">
      <w:pPr>
        <w:pStyle w:val="Heading3"/>
      </w:pPr>
    </w:p>
    <w:p w14:paraId="7100E05E" w14:textId="77777777" w:rsidR="005D3DF7" w:rsidRPr="00EE35F4" w:rsidRDefault="005D3DF7" w:rsidP="005D3DF7">
      <w:pPr>
        <w:spacing w:before="240" w:after="120"/>
        <w:rPr>
          <w:rFonts w:asciiTheme="majorHAnsi" w:hAnsiTheme="majorHAnsi"/>
          <w:sz w:val="24"/>
        </w:rPr>
      </w:pPr>
      <w:bookmarkStart w:id="14" w:name="h.3rdcrjn" w:colFirst="0" w:colLast="0"/>
      <w:bookmarkEnd w:id="14"/>
    </w:p>
    <w:p w14:paraId="49AC7274" w14:textId="77777777" w:rsidR="005D3DF7" w:rsidRPr="00EE35F4" w:rsidRDefault="005D3DF7" w:rsidP="005D3DF7">
      <w:pPr>
        <w:spacing w:before="240" w:after="120"/>
        <w:rPr>
          <w:rFonts w:asciiTheme="majorHAnsi" w:hAnsiTheme="majorHAnsi"/>
          <w:sz w:val="24"/>
        </w:rPr>
      </w:pPr>
    </w:p>
    <w:p w14:paraId="77AFB32A" w14:textId="77777777" w:rsidR="005D3DF7" w:rsidRPr="00EE35F4" w:rsidRDefault="005D3DF7" w:rsidP="005D3DF7">
      <w:pPr>
        <w:spacing w:before="240" w:after="120"/>
        <w:rPr>
          <w:rFonts w:asciiTheme="majorHAnsi" w:hAnsiTheme="majorHAnsi"/>
          <w:sz w:val="24"/>
        </w:rPr>
      </w:pPr>
    </w:p>
    <w:p w14:paraId="2A794919" w14:textId="77777777" w:rsidR="005D3DF7" w:rsidRPr="00EE35F4" w:rsidRDefault="005D3DF7" w:rsidP="005D3DF7">
      <w:pPr>
        <w:spacing w:before="240" w:after="120"/>
        <w:rPr>
          <w:rFonts w:asciiTheme="majorHAnsi" w:hAnsiTheme="majorHAnsi"/>
          <w:sz w:val="24"/>
        </w:rPr>
      </w:pPr>
    </w:p>
    <w:p w14:paraId="09F5FADC" w14:textId="77777777" w:rsidR="005D3DF7" w:rsidRPr="00EE35F4" w:rsidRDefault="005D3DF7" w:rsidP="005D3DF7">
      <w:pPr>
        <w:spacing w:before="240" w:after="120"/>
        <w:rPr>
          <w:rFonts w:asciiTheme="majorHAnsi" w:hAnsiTheme="majorHAnsi"/>
          <w:sz w:val="24"/>
        </w:rPr>
      </w:pPr>
      <w:bookmarkStart w:id="15" w:name="h.26in1rg" w:colFirst="0" w:colLast="0"/>
      <w:bookmarkEnd w:id="15"/>
    </w:p>
    <w:p w14:paraId="3CA574EE" w14:textId="77777777" w:rsidR="005D3DF7" w:rsidRPr="00EE35F4" w:rsidRDefault="005D3DF7" w:rsidP="005D3DF7">
      <w:pPr>
        <w:spacing w:before="240" w:after="120"/>
        <w:rPr>
          <w:rFonts w:asciiTheme="majorHAnsi" w:hAnsiTheme="majorHAnsi"/>
          <w:b/>
          <w:color w:val="1E2F13"/>
          <w:sz w:val="36"/>
          <w:szCs w:val="32"/>
        </w:rPr>
      </w:pPr>
      <w:bookmarkStart w:id="16" w:name="h.lnxbz9" w:colFirst="0" w:colLast="0"/>
      <w:bookmarkEnd w:id="16"/>
      <w:r w:rsidRPr="00EE35F4">
        <w:rPr>
          <w:rFonts w:asciiTheme="majorHAnsi" w:hAnsiTheme="majorHAnsi"/>
          <w:sz w:val="36"/>
          <w:szCs w:val="32"/>
        </w:rPr>
        <w:br w:type="page"/>
      </w:r>
    </w:p>
    <w:p w14:paraId="015D9252" w14:textId="77777777" w:rsidR="005D3DF7" w:rsidRPr="0084324D" w:rsidRDefault="005D3DF7" w:rsidP="005D3DF7">
      <w:pPr>
        <w:pStyle w:val="Heading1"/>
        <w:spacing w:before="240" w:after="120"/>
        <w:rPr>
          <w:rFonts w:asciiTheme="majorHAnsi" w:hAnsiTheme="majorHAnsi"/>
          <w:color w:val="003300"/>
        </w:rPr>
      </w:pPr>
      <w:bookmarkStart w:id="17" w:name="_Toc452993100"/>
      <w:r w:rsidRPr="0084324D">
        <w:rPr>
          <w:rFonts w:asciiTheme="majorHAnsi" w:hAnsiTheme="majorHAnsi"/>
          <w:color w:val="003300"/>
          <w:sz w:val="32"/>
          <w:szCs w:val="32"/>
        </w:rPr>
        <w:lastRenderedPageBreak/>
        <w:t>Phases of Development &amp; Timeline for Implementation</w:t>
      </w:r>
      <w:bookmarkEnd w:id="17"/>
    </w:p>
    <w:p w14:paraId="7DC2F7AD" w14:textId="1A772B2F" w:rsidR="005D3DF7" w:rsidRPr="00EE35F4" w:rsidRDefault="005D3DF7" w:rsidP="005D3DF7">
      <w:pPr>
        <w:spacing w:before="240" w:after="120"/>
        <w:ind w:firstLine="0"/>
        <w:rPr>
          <w:rFonts w:asciiTheme="majorHAnsi" w:hAnsiTheme="majorHAnsi"/>
        </w:rPr>
      </w:pPr>
      <w:r w:rsidRPr="00EE35F4">
        <w:rPr>
          <w:rFonts w:asciiTheme="majorHAnsi" w:hAnsiTheme="majorHAnsi"/>
        </w:rPr>
        <w:t>The initiative, research, and plan for development of this proposal spans more than a decad</w:t>
      </w:r>
      <w:r w:rsidR="000038DE" w:rsidRPr="00EE35F4">
        <w:rPr>
          <w:rFonts w:asciiTheme="majorHAnsi" w:hAnsiTheme="majorHAnsi"/>
        </w:rPr>
        <w:t>e of</w:t>
      </w:r>
      <w:r w:rsidRPr="00EE35F4">
        <w:rPr>
          <w:rFonts w:asciiTheme="majorHAnsi" w:hAnsiTheme="majorHAnsi"/>
        </w:rPr>
        <w:t xml:space="preserve">f work at Colorado State University (CSU). Multiple steps have been taken over these years to conduct research and review models for the progressive nature of employing faculty in higher education.  Many changes and improvements have been made and many more ideas have been discussed.  Culture change has occurred at CSU such that the challenges faced by NTTF are now well understood and a course for implementing real and lasting improvements must </w:t>
      </w:r>
      <w:r w:rsidR="0041061A" w:rsidRPr="00EE35F4">
        <w:rPr>
          <w:rFonts w:asciiTheme="majorHAnsi" w:hAnsiTheme="majorHAnsi"/>
        </w:rPr>
        <w:t>now</w:t>
      </w:r>
      <w:r w:rsidR="002B41EF" w:rsidRPr="00EE35F4">
        <w:rPr>
          <w:rFonts w:asciiTheme="majorHAnsi" w:hAnsiTheme="majorHAnsi"/>
        </w:rPr>
        <w:t xml:space="preserve"> </w:t>
      </w:r>
      <w:r w:rsidRPr="00EE35F4">
        <w:rPr>
          <w:rFonts w:asciiTheme="majorHAnsi" w:hAnsiTheme="majorHAnsi"/>
        </w:rPr>
        <w:t>be clarifie</w:t>
      </w:r>
      <w:r w:rsidR="0041061A" w:rsidRPr="00EE35F4">
        <w:rPr>
          <w:rFonts w:asciiTheme="majorHAnsi" w:hAnsiTheme="majorHAnsi"/>
        </w:rPr>
        <w:t xml:space="preserve">d. </w:t>
      </w:r>
    </w:p>
    <w:p w14:paraId="3BA4A847"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Below we outline the phases of this project since its inception and our current and proposed trajectory for the near future. </w:t>
      </w:r>
    </w:p>
    <w:p w14:paraId="296F01D7" w14:textId="5CD3221E" w:rsidR="005D3DF7" w:rsidRPr="0084324D" w:rsidRDefault="005D3DF7" w:rsidP="0084324D">
      <w:pPr>
        <w:pStyle w:val="Heading3"/>
        <w:spacing w:before="360" w:after="0"/>
        <w:rPr>
          <w:color w:val="003300"/>
        </w:rPr>
      </w:pPr>
      <w:r w:rsidRPr="0084324D">
        <w:rPr>
          <w:color w:val="003300"/>
          <w:u w:val="single"/>
        </w:rPr>
        <w:t>Phase 1:</w:t>
      </w:r>
      <w:r w:rsidRPr="0084324D">
        <w:rPr>
          <w:color w:val="003300"/>
        </w:rPr>
        <w:t xml:space="preserve"> History of Efforts to Improve Non-Tenure-Track Faculty Appointments at CSU</w:t>
      </w:r>
    </w:p>
    <w:p w14:paraId="22A64FA0" w14:textId="77777777" w:rsidR="005D3DF7" w:rsidRPr="00EE35F4" w:rsidRDefault="005D3DF7" w:rsidP="005D3DF7">
      <w:pPr>
        <w:spacing w:before="240" w:after="120"/>
        <w:ind w:left="540" w:hanging="540"/>
        <w:rPr>
          <w:rFonts w:asciiTheme="majorHAnsi" w:hAnsiTheme="majorHAnsi"/>
        </w:rPr>
      </w:pPr>
      <w:r w:rsidRPr="00EE35F4">
        <w:rPr>
          <w:rFonts w:asciiTheme="majorHAnsi" w:hAnsiTheme="majorHAnsi"/>
        </w:rPr>
        <w:t>1992: The first report and recommendations on how to improve the working conditions for faculty off of the tenure track was prepared by David Lindstrom of the Department of English and subsequently was delivered to the Dean of the College of Liberal Arts (CLA). This was an important step forward given that by the mid-1990s, over 40% of the undergraduate credit hours were taught by NTTF and others off the tenure track.</w:t>
      </w:r>
    </w:p>
    <w:p w14:paraId="614981A4" w14:textId="77777777" w:rsidR="005D3DF7" w:rsidRPr="00EE35F4" w:rsidRDefault="005D3DF7" w:rsidP="005D3DF7">
      <w:pPr>
        <w:spacing w:before="240" w:after="120"/>
        <w:ind w:left="540" w:hanging="540"/>
        <w:rPr>
          <w:rFonts w:asciiTheme="majorHAnsi" w:hAnsiTheme="majorHAnsi"/>
        </w:rPr>
      </w:pPr>
      <w:r w:rsidRPr="00EE35F4">
        <w:rPr>
          <w:rFonts w:asciiTheme="majorHAnsi" w:hAnsiTheme="majorHAnsi"/>
        </w:rPr>
        <w:t xml:space="preserve">2004: Goals for faculty teaching off of the tenure track were included in CSU’s strategic plan. In January of 2005, a small increase in salary was made possible by the Provost’s Office, and this small raise was followed by a more substantial one in the Fall of 2015, becoming one of the first major salary increases for such faculty in over a decade and followed by others. </w:t>
      </w:r>
    </w:p>
    <w:p w14:paraId="5BFF6C95" w14:textId="77777777" w:rsidR="005D3DF7" w:rsidRPr="00EE35F4" w:rsidRDefault="005D3DF7" w:rsidP="005D3DF7">
      <w:pPr>
        <w:spacing w:before="240" w:after="120"/>
        <w:ind w:left="540" w:hanging="540"/>
        <w:rPr>
          <w:rFonts w:asciiTheme="majorHAnsi" w:hAnsiTheme="majorHAnsi"/>
        </w:rPr>
      </w:pPr>
      <w:r w:rsidRPr="00EE35F4">
        <w:rPr>
          <w:rFonts w:asciiTheme="majorHAnsi" w:hAnsiTheme="majorHAnsi"/>
        </w:rPr>
        <w:t xml:space="preserve">2006: Legislation was signed into law removing the legal barrier to offering multiyear contracts to research faculty supported by grants. </w:t>
      </w:r>
    </w:p>
    <w:p w14:paraId="70F58191" w14:textId="1255D345" w:rsidR="005D3DF7" w:rsidRPr="00EE35F4" w:rsidRDefault="005D3DF7" w:rsidP="005D3DF7">
      <w:pPr>
        <w:spacing w:before="240" w:after="120"/>
        <w:ind w:left="540" w:hanging="540"/>
        <w:rPr>
          <w:rFonts w:asciiTheme="majorHAnsi" w:hAnsiTheme="majorHAnsi"/>
        </w:rPr>
      </w:pPr>
      <w:r w:rsidRPr="00EE35F4">
        <w:rPr>
          <w:rFonts w:asciiTheme="majorHAnsi" w:hAnsiTheme="majorHAnsi"/>
        </w:rPr>
        <w:t xml:space="preserve">2006: The Provost’s Task Force for Special and Temporary Faculty was given its charge by Provost Tony Frank. The Task Force spent a full year developing a set of principles which eventually became known as the 6R’s (Appendix E). After developing the 6R’s, the Task Force presented the list to all department chairs in the university in order to understand obstacles to implementation. </w:t>
      </w:r>
    </w:p>
    <w:p w14:paraId="15789808" w14:textId="53B69C30" w:rsidR="005D3DF7" w:rsidRPr="00EE35F4" w:rsidRDefault="005D3DF7" w:rsidP="005D3DF7">
      <w:pPr>
        <w:spacing w:before="240" w:after="120"/>
        <w:ind w:left="540" w:hanging="540"/>
        <w:rPr>
          <w:rFonts w:asciiTheme="majorHAnsi" w:hAnsiTheme="majorHAnsi"/>
          <w:i/>
        </w:rPr>
      </w:pPr>
      <w:r w:rsidRPr="00EE35F4">
        <w:rPr>
          <w:rFonts w:asciiTheme="majorHAnsi" w:hAnsiTheme="majorHAnsi"/>
        </w:rPr>
        <w:t xml:space="preserve">2007: December: The 6R’s were approved by the Provost </w:t>
      </w:r>
      <w:r w:rsidRPr="00EE35F4">
        <w:rPr>
          <w:rFonts w:asciiTheme="majorHAnsi" w:hAnsiTheme="majorHAnsi"/>
          <w:i/>
        </w:rPr>
        <w:t>but were neither presented to nor endorsed by Faculty Coun</w:t>
      </w:r>
      <w:r w:rsidR="000038DE" w:rsidRPr="00EE35F4">
        <w:rPr>
          <w:rFonts w:asciiTheme="majorHAnsi" w:hAnsiTheme="majorHAnsi"/>
          <w:i/>
        </w:rPr>
        <w:t xml:space="preserve">cil </w:t>
      </w:r>
    </w:p>
    <w:p w14:paraId="4E6D243A" w14:textId="77777777" w:rsidR="005D3DF7" w:rsidRPr="00EE35F4" w:rsidRDefault="005D3DF7" w:rsidP="005D3DF7">
      <w:pPr>
        <w:spacing w:before="240" w:after="120"/>
        <w:ind w:left="540" w:hanging="540"/>
        <w:rPr>
          <w:rFonts w:asciiTheme="majorHAnsi" w:hAnsiTheme="majorHAnsi"/>
        </w:rPr>
      </w:pPr>
      <w:r w:rsidRPr="00EE35F4">
        <w:rPr>
          <w:rFonts w:asciiTheme="majorHAnsi" w:hAnsiTheme="majorHAnsi"/>
        </w:rPr>
        <w:t>2008: The Provost’s Task Force for Special and Temporary Faculty proposed an Advisory Committee to Faculty Council on NTTF, putting a close to the Task Force’s mission. The Faculty Council committee, Committee for Special and Temporary Faculty (CoSTF), was approved by Faculty Council in October 2009.</w:t>
      </w:r>
    </w:p>
    <w:p w14:paraId="4C139D30" w14:textId="77777777" w:rsidR="005D3DF7" w:rsidRPr="00EE35F4" w:rsidRDefault="005D3DF7" w:rsidP="005D3DF7">
      <w:pPr>
        <w:spacing w:before="240" w:after="120"/>
        <w:ind w:left="540" w:hanging="540"/>
        <w:rPr>
          <w:rFonts w:asciiTheme="majorHAnsi" w:hAnsiTheme="majorHAnsi"/>
        </w:rPr>
      </w:pPr>
      <w:r w:rsidRPr="00EE35F4">
        <w:rPr>
          <w:rFonts w:asciiTheme="majorHAnsi" w:hAnsiTheme="majorHAnsi"/>
        </w:rPr>
        <w:t>2009: The interests of NTTF across the campus began to be represented by the CoSTF. CoSTF was the first Faculty Council advisory committee comprised of, and for, NTTF at CSU. Their efforts included such changes as the creation of the Senior Teaching Appointment and eligibility for emeritus status for NTTF.</w:t>
      </w:r>
    </w:p>
    <w:p w14:paraId="2782054B" w14:textId="77777777" w:rsidR="005D3DF7" w:rsidRPr="00EE35F4" w:rsidRDefault="005D3DF7" w:rsidP="005D3DF7">
      <w:pPr>
        <w:spacing w:before="240" w:after="120"/>
        <w:ind w:left="540" w:hanging="540"/>
        <w:rPr>
          <w:rFonts w:asciiTheme="majorHAnsi" w:hAnsiTheme="majorHAnsi"/>
        </w:rPr>
      </w:pPr>
      <w:r w:rsidRPr="00EE35F4">
        <w:rPr>
          <w:rFonts w:asciiTheme="majorHAnsi" w:hAnsiTheme="majorHAnsi"/>
        </w:rPr>
        <w:t xml:space="preserve">2012: CoSTF joined with the American Association of University Professors (AAUP), and with university lobbyists to support legislation (HB1144). Sponsored by Representative Randy Fischer, and signed into law in April 2012 by Governor John Hickenlooper, this bill removed the legal barrier to multi-year contracts for teaching faculty in the State of Colorado. </w:t>
      </w:r>
    </w:p>
    <w:p w14:paraId="4211D355" w14:textId="77777777" w:rsidR="005D3DF7" w:rsidRPr="00EE35F4" w:rsidRDefault="005D3DF7" w:rsidP="005D3DF7">
      <w:pPr>
        <w:spacing w:before="240" w:after="120"/>
        <w:ind w:left="540" w:hanging="540"/>
        <w:rPr>
          <w:rFonts w:asciiTheme="majorHAnsi" w:hAnsiTheme="majorHAnsi"/>
        </w:rPr>
      </w:pPr>
      <w:r w:rsidRPr="00EE35F4">
        <w:rPr>
          <w:rFonts w:asciiTheme="majorHAnsi" w:hAnsiTheme="majorHAnsi"/>
        </w:rPr>
        <w:lastRenderedPageBreak/>
        <w:t>2013:  CoSTF became CoNTTF—The Committee on Non-Tenure-Track Faculty</w:t>
      </w:r>
    </w:p>
    <w:p w14:paraId="40E5297D"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Over the same period, the College of Liberal Arts Committee on Non-Tenure-Track Faculty in particular made significant and meaningful progress towards changing the culture of NTTF in their college. Improvements within the CLA were patterned initially after the model of the College of Veterinary Medicine and Behavioral Sciences’ early NTTF governance approaches as led by Dr. Lance Perryman, who was Dean at the time, and by Dr. David Gilkey, who was Special Appointment faculty also at that time.  Efforts in the CLA were undertaken to</w:t>
      </w:r>
    </w:p>
    <w:p w14:paraId="3275706F" w14:textId="77777777" w:rsidR="005D3DF7" w:rsidRPr="00EE35F4" w:rsidRDefault="005D3DF7" w:rsidP="00B55FC2">
      <w:pPr>
        <w:numPr>
          <w:ilvl w:val="0"/>
          <w:numId w:val="48"/>
        </w:numPr>
        <w:spacing w:before="240" w:after="120"/>
        <w:ind w:hanging="360"/>
        <w:rPr>
          <w:rFonts w:asciiTheme="majorHAnsi" w:hAnsiTheme="majorHAnsi"/>
        </w:rPr>
      </w:pPr>
      <w:r w:rsidRPr="00EE35F4">
        <w:rPr>
          <w:rFonts w:asciiTheme="majorHAnsi" w:hAnsiTheme="majorHAnsi"/>
        </w:rPr>
        <w:t>Establish a college committee, the CLA-AFC College of Liberal Arts Adjunct Faculty Committee, and election procedures (2006)</w:t>
      </w:r>
    </w:p>
    <w:p w14:paraId="5E672BDD" w14:textId="77777777" w:rsidR="005D3DF7" w:rsidRPr="00EE35F4" w:rsidRDefault="005D3DF7" w:rsidP="00B55FC2">
      <w:pPr>
        <w:numPr>
          <w:ilvl w:val="0"/>
          <w:numId w:val="48"/>
        </w:numPr>
        <w:spacing w:before="240" w:after="120"/>
        <w:ind w:hanging="360"/>
        <w:rPr>
          <w:rFonts w:asciiTheme="majorHAnsi" w:hAnsiTheme="majorHAnsi"/>
        </w:rPr>
      </w:pPr>
      <w:r w:rsidRPr="00EE35F4">
        <w:rPr>
          <w:rFonts w:asciiTheme="majorHAnsi" w:hAnsiTheme="majorHAnsi"/>
        </w:rPr>
        <w:t>Hire NTTF as Special rather than Temporary (2007-8)</w:t>
      </w:r>
    </w:p>
    <w:p w14:paraId="370A9973" w14:textId="77777777" w:rsidR="005D3DF7" w:rsidRPr="00EE35F4" w:rsidRDefault="005D3DF7" w:rsidP="00B55FC2">
      <w:pPr>
        <w:numPr>
          <w:ilvl w:val="0"/>
          <w:numId w:val="48"/>
        </w:numPr>
        <w:spacing w:before="240" w:after="120"/>
        <w:ind w:hanging="360"/>
        <w:rPr>
          <w:rFonts w:asciiTheme="majorHAnsi" w:hAnsiTheme="majorHAnsi"/>
        </w:rPr>
      </w:pPr>
      <w:r w:rsidRPr="00EE35F4">
        <w:rPr>
          <w:rFonts w:asciiTheme="majorHAnsi" w:hAnsiTheme="majorHAnsi"/>
        </w:rPr>
        <w:t>Mentor new NTTF (2009 forward)</w:t>
      </w:r>
    </w:p>
    <w:p w14:paraId="2CAD944A" w14:textId="77777777" w:rsidR="005D3DF7" w:rsidRPr="00EE35F4" w:rsidRDefault="005D3DF7" w:rsidP="00B55FC2">
      <w:pPr>
        <w:numPr>
          <w:ilvl w:val="0"/>
          <w:numId w:val="48"/>
        </w:numPr>
        <w:spacing w:before="240" w:after="120"/>
        <w:ind w:hanging="360"/>
        <w:rPr>
          <w:rFonts w:asciiTheme="majorHAnsi" w:hAnsiTheme="majorHAnsi"/>
        </w:rPr>
      </w:pPr>
      <w:r w:rsidRPr="00EE35F4">
        <w:rPr>
          <w:rFonts w:asciiTheme="majorHAnsi" w:hAnsiTheme="majorHAnsi"/>
        </w:rPr>
        <w:t>Maintain records of efforts and innovations</w:t>
      </w:r>
    </w:p>
    <w:p w14:paraId="1A1EA79D" w14:textId="77777777" w:rsidR="005D3DF7" w:rsidRPr="00EE35F4" w:rsidRDefault="005D3DF7" w:rsidP="00B55FC2">
      <w:pPr>
        <w:numPr>
          <w:ilvl w:val="0"/>
          <w:numId w:val="48"/>
        </w:numPr>
        <w:spacing w:before="240" w:after="120"/>
        <w:ind w:hanging="360"/>
        <w:rPr>
          <w:rFonts w:asciiTheme="majorHAnsi" w:hAnsiTheme="majorHAnsi"/>
        </w:rPr>
      </w:pPr>
      <w:r w:rsidRPr="00EE35F4">
        <w:rPr>
          <w:rFonts w:asciiTheme="majorHAnsi" w:hAnsiTheme="majorHAnsi"/>
        </w:rPr>
        <w:t>Develop NTTF committees at the department level (varies by department)</w:t>
      </w:r>
    </w:p>
    <w:p w14:paraId="2510E583" w14:textId="77777777" w:rsidR="005D3DF7" w:rsidRPr="00EE35F4" w:rsidRDefault="005D3DF7" w:rsidP="00B55FC2">
      <w:pPr>
        <w:numPr>
          <w:ilvl w:val="0"/>
          <w:numId w:val="48"/>
        </w:numPr>
        <w:spacing w:before="240" w:after="120"/>
        <w:ind w:hanging="360"/>
        <w:rPr>
          <w:rFonts w:asciiTheme="majorHAnsi" w:hAnsiTheme="majorHAnsi"/>
        </w:rPr>
      </w:pPr>
      <w:r w:rsidRPr="00EE35F4">
        <w:rPr>
          <w:rFonts w:asciiTheme="majorHAnsi" w:hAnsiTheme="majorHAnsi"/>
        </w:rPr>
        <w:t>Evaluate NTTF, starting in the department of English (2008)</w:t>
      </w:r>
    </w:p>
    <w:p w14:paraId="1441A444" w14:textId="77777777" w:rsidR="005D3DF7" w:rsidRPr="00EE35F4" w:rsidRDefault="005D3DF7" w:rsidP="00B55FC2">
      <w:pPr>
        <w:numPr>
          <w:ilvl w:val="0"/>
          <w:numId w:val="48"/>
        </w:numPr>
        <w:spacing w:before="240" w:after="120"/>
        <w:ind w:hanging="360"/>
        <w:rPr>
          <w:rFonts w:asciiTheme="majorHAnsi" w:hAnsiTheme="majorHAnsi"/>
        </w:rPr>
      </w:pPr>
      <w:r w:rsidRPr="00EE35F4">
        <w:rPr>
          <w:rFonts w:asciiTheme="majorHAnsi" w:hAnsiTheme="majorHAnsi"/>
        </w:rPr>
        <w:t>Extend NTTF voting rights for faculty representatives (varies by department)</w:t>
      </w:r>
    </w:p>
    <w:p w14:paraId="354777BB" w14:textId="77777777" w:rsidR="005D3DF7" w:rsidRPr="00EE35F4" w:rsidRDefault="005D3DF7" w:rsidP="00B55FC2">
      <w:pPr>
        <w:numPr>
          <w:ilvl w:val="0"/>
          <w:numId w:val="48"/>
        </w:numPr>
        <w:spacing w:before="240" w:after="120"/>
        <w:ind w:hanging="360"/>
        <w:rPr>
          <w:rFonts w:asciiTheme="majorHAnsi" w:hAnsiTheme="majorHAnsi"/>
        </w:rPr>
      </w:pPr>
      <w:r w:rsidRPr="00EE35F4">
        <w:rPr>
          <w:rFonts w:asciiTheme="majorHAnsi" w:hAnsiTheme="majorHAnsi"/>
        </w:rPr>
        <w:t>Sponsor Campus Equity Week activities (2004 forward)</w:t>
      </w:r>
    </w:p>
    <w:p w14:paraId="11C90F29" w14:textId="77777777" w:rsidR="005D3DF7" w:rsidRPr="00EE35F4" w:rsidRDefault="005D3DF7" w:rsidP="00B55FC2">
      <w:pPr>
        <w:numPr>
          <w:ilvl w:val="0"/>
          <w:numId w:val="48"/>
        </w:numPr>
        <w:spacing w:before="240" w:after="120"/>
        <w:ind w:hanging="360"/>
        <w:rPr>
          <w:rFonts w:asciiTheme="majorHAnsi" w:hAnsiTheme="majorHAnsi"/>
        </w:rPr>
      </w:pPr>
      <w:r w:rsidRPr="00EE35F4">
        <w:rPr>
          <w:rFonts w:asciiTheme="majorHAnsi" w:hAnsiTheme="majorHAnsi"/>
        </w:rPr>
        <w:t>Improve the visibility of NTTF (2004 forward)</w:t>
      </w:r>
    </w:p>
    <w:p w14:paraId="2602E20A" w14:textId="195E1876" w:rsidR="005D3DF7" w:rsidRPr="0084324D" w:rsidRDefault="005D3DF7" w:rsidP="0084324D">
      <w:pPr>
        <w:pStyle w:val="Heading3"/>
        <w:spacing w:before="360" w:after="0"/>
        <w:rPr>
          <w:color w:val="003300"/>
        </w:rPr>
      </w:pPr>
      <w:r w:rsidRPr="0084324D">
        <w:rPr>
          <w:color w:val="003300"/>
          <w:u w:val="single"/>
        </w:rPr>
        <w:t>Phase 2:</w:t>
      </w:r>
      <w:r w:rsidRPr="0084324D">
        <w:rPr>
          <w:color w:val="003300"/>
        </w:rPr>
        <w:t xml:space="preserve"> </w:t>
      </w:r>
      <w:r w:rsidR="0041061A" w:rsidRPr="0084324D">
        <w:rPr>
          <w:color w:val="003300"/>
        </w:rPr>
        <w:t xml:space="preserve"> </w:t>
      </w:r>
      <w:r w:rsidRPr="0084324D">
        <w:rPr>
          <w:color w:val="003300"/>
        </w:rPr>
        <w:t>CoNTTF’s Initial Charge and proposals to enhance non-tenure-track faculty appointments</w:t>
      </w:r>
    </w:p>
    <w:p w14:paraId="57A66E27"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In 2013, the committee developed a comprehensive proposal and documentation of recommendations for changes to answer President Frank’s call for the creation of an exceptional work environment for Non-Tenure-Track Faculty (NTTF) at CSU. This proposal was submitted to Provost Miranda, Vice Provost Bush, and the Faculty Council Chair at the time, Tim Gallagher. The full proposal can be found in Appendix D. </w:t>
      </w:r>
    </w:p>
    <w:p w14:paraId="26DCA3D0"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Over the subsequent three years, CoNTTF proposed several changes to the policies related to NTTF at CSU and these were accepted by Faculty Council and codified in the Faculty Manual:</w:t>
      </w:r>
    </w:p>
    <w:p w14:paraId="79852DA3" w14:textId="77777777" w:rsidR="005D3DF7" w:rsidRPr="00EE35F4" w:rsidRDefault="005D3DF7" w:rsidP="00B55FC2">
      <w:pPr>
        <w:numPr>
          <w:ilvl w:val="0"/>
          <w:numId w:val="26"/>
        </w:numPr>
        <w:spacing w:before="240" w:after="120"/>
        <w:ind w:hanging="360"/>
        <w:rPr>
          <w:rFonts w:asciiTheme="majorHAnsi" w:hAnsiTheme="majorHAnsi"/>
        </w:rPr>
      </w:pPr>
      <w:r w:rsidRPr="00EE35F4">
        <w:rPr>
          <w:rFonts w:asciiTheme="majorHAnsi" w:hAnsiTheme="majorHAnsi"/>
        </w:rPr>
        <w:t>Created the Senior Teaching Appointment</w:t>
      </w:r>
    </w:p>
    <w:p w14:paraId="0534C692" w14:textId="77777777" w:rsidR="005D3DF7" w:rsidRPr="00EE35F4" w:rsidRDefault="005D3DF7" w:rsidP="00B55FC2">
      <w:pPr>
        <w:numPr>
          <w:ilvl w:val="0"/>
          <w:numId w:val="26"/>
        </w:numPr>
        <w:spacing w:before="240" w:after="120"/>
        <w:ind w:hanging="360"/>
        <w:rPr>
          <w:rFonts w:asciiTheme="majorHAnsi" w:hAnsiTheme="majorHAnsi"/>
        </w:rPr>
      </w:pPr>
      <w:r w:rsidRPr="00EE35F4">
        <w:rPr>
          <w:rFonts w:asciiTheme="majorHAnsi" w:hAnsiTheme="majorHAnsi"/>
        </w:rPr>
        <w:t>Secured a vote in Faculty Council for the CoNTTF chair, who is the first NTTF voting member of CSU’s faculty governance body</w:t>
      </w:r>
    </w:p>
    <w:p w14:paraId="54B2885C" w14:textId="77777777" w:rsidR="005D3DF7" w:rsidRPr="00EE35F4" w:rsidRDefault="005D3DF7" w:rsidP="00B55FC2">
      <w:pPr>
        <w:numPr>
          <w:ilvl w:val="0"/>
          <w:numId w:val="26"/>
        </w:numPr>
        <w:spacing w:before="240" w:after="120"/>
        <w:ind w:hanging="360"/>
        <w:rPr>
          <w:rFonts w:asciiTheme="majorHAnsi" w:hAnsiTheme="majorHAnsi"/>
        </w:rPr>
      </w:pPr>
      <w:r w:rsidRPr="00EE35F4">
        <w:rPr>
          <w:rFonts w:asciiTheme="majorHAnsi" w:hAnsiTheme="majorHAnsi"/>
        </w:rPr>
        <w:t>Petitioned for the right for NTTF to vote for their Faculty Council representatives, alongside regular faculty</w:t>
      </w:r>
    </w:p>
    <w:p w14:paraId="60260989" w14:textId="77777777" w:rsidR="005D3DF7" w:rsidRPr="00EE35F4" w:rsidRDefault="005D3DF7" w:rsidP="00B55FC2">
      <w:pPr>
        <w:numPr>
          <w:ilvl w:val="0"/>
          <w:numId w:val="26"/>
        </w:numPr>
        <w:spacing w:before="240" w:after="120"/>
        <w:ind w:hanging="360"/>
        <w:rPr>
          <w:rFonts w:asciiTheme="majorHAnsi" w:hAnsiTheme="majorHAnsi"/>
        </w:rPr>
      </w:pPr>
      <w:r w:rsidRPr="00EE35F4">
        <w:rPr>
          <w:rFonts w:asciiTheme="majorHAnsi" w:hAnsiTheme="majorHAnsi"/>
        </w:rPr>
        <w:t>Stipulated a maximum duration for a Temporary appointment for faculty who are 50% or more FTE</w:t>
      </w:r>
    </w:p>
    <w:p w14:paraId="2E48BDFD" w14:textId="49DD3731" w:rsidR="005D3DF7" w:rsidRPr="0084324D" w:rsidRDefault="005D3DF7" w:rsidP="005D3DF7">
      <w:pPr>
        <w:pStyle w:val="Heading3"/>
        <w:spacing w:before="0" w:after="0"/>
        <w:rPr>
          <w:color w:val="003300"/>
          <w:u w:val="single"/>
        </w:rPr>
      </w:pPr>
      <w:r w:rsidRPr="0084324D">
        <w:rPr>
          <w:color w:val="003300"/>
          <w:u w:val="single"/>
        </w:rPr>
        <w:lastRenderedPageBreak/>
        <w:t>Phase 3:</w:t>
      </w:r>
      <w:r w:rsidRPr="00941566">
        <w:rPr>
          <w:color w:val="003300"/>
        </w:rPr>
        <w:t xml:space="preserve"> </w:t>
      </w:r>
      <w:r w:rsidR="0041061A" w:rsidRPr="00941566">
        <w:rPr>
          <w:color w:val="003300"/>
        </w:rPr>
        <w:t>The Current Proposal</w:t>
      </w:r>
    </w:p>
    <w:p w14:paraId="37AD57FF" w14:textId="77777777" w:rsidR="005D3DF7" w:rsidRPr="00EE35F4" w:rsidRDefault="005D3DF7" w:rsidP="005D3DF7">
      <w:pPr>
        <w:pStyle w:val="Heading3"/>
        <w:spacing w:before="0" w:after="0"/>
        <w:rPr>
          <w:sz w:val="22"/>
          <w:szCs w:val="22"/>
        </w:rPr>
      </w:pPr>
    </w:p>
    <w:p w14:paraId="10159740" w14:textId="77777777" w:rsidR="005D3DF7" w:rsidRPr="00EE35F4" w:rsidRDefault="005D3DF7" w:rsidP="005D3DF7">
      <w:pPr>
        <w:pStyle w:val="Heading3"/>
        <w:spacing w:before="0" w:after="0"/>
        <w:rPr>
          <w:sz w:val="22"/>
          <w:szCs w:val="22"/>
        </w:rPr>
      </w:pPr>
      <w:r w:rsidRPr="00EE35F4">
        <w:rPr>
          <w:sz w:val="22"/>
          <w:szCs w:val="22"/>
        </w:rPr>
        <w:t>In 2016 CoNTTF worked to develop the current proposal for a comprehensive plan to re-envision faculty appointments. In order to produce this plan in as comprehensive and thoughtful a way as possible, CoNTTF first undertook throughout the 2015-2016 academic year an investigation of options provided by other educational institutions. The following institutions and approaches were considered:</w:t>
      </w:r>
    </w:p>
    <w:p w14:paraId="27581BE9" w14:textId="77777777" w:rsidR="005D3DF7" w:rsidRPr="00EE35F4" w:rsidRDefault="005D3DF7" w:rsidP="00B55FC2">
      <w:pPr>
        <w:numPr>
          <w:ilvl w:val="0"/>
          <w:numId w:val="26"/>
        </w:numPr>
        <w:spacing w:before="240" w:after="120"/>
        <w:ind w:hanging="360"/>
        <w:rPr>
          <w:rFonts w:asciiTheme="majorHAnsi" w:hAnsiTheme="majorHAnsi"/>
        </w:rPr>
      </w:pPr>
      <w:r w:rsidRPr="00EE35F4">
        <w:rPr>
          <w:rFonts w:asciiTheme="majorHAnsi" w:hAnsiTheme="majorHAnsi"/>
        </w:rPr>
        <w:t>University of Colorado, Boulder Proposal for Teaching Tenure</w:t>
      </w:r>
    </w:p>
    <w:p w14:paraId="7A33932E" w14:textId="77777777" w:rsidR="005D3DF7" w:rsidRPr="00EE35F4" w:rsidRDefault="005D3DF7" w:rsidP="00B55FC2">
      <w:pPr>
        <w:numPr>
          <w:ilvl w:val="0"/>
          <w:numId w:val="26"/>
        </w:numPr>
        <w:spacing w:before="240" w:after="120"/>
        <w:ind w:hanging="360"/>
        <w:rPr>
          <w:rFonts w:asciiTheme="majorHAnsi" w:hAnsiTheme="majorHAnsi"/>
        </w:rPr>
      </w:pPr>
      <w:r w:rsidRPr="00EE35F4">
        <w:rPr>
          <w:rFonts w:asciiTheme="majorHAnsi" w:hAnsiTheme="majorHAnsi"/>
        </w:rPr>
        <w:t>Denver University Professional Faculty Series</w:t>
      </w:r>
    </w:p>
    <w:p w14:paraId="27A24E3D" w14:textId="77777777" w:rsidR="005D3DF7" w:rsidRPr="00EE35F4" w:rsidRDefault="005D3DF7" w:rsidP="00B55FC2">
      <w:pPr>
        <w:numPr>
          <w:ilvl w:val="0"/>
          <w:numId w:val="26"/>
        </w:numPr>
        <w:spacing w:before="240" w:after="120"/>
        <w:ind w:hanging="360"/>
        <w:rPr>
          <w:rFonts w:asciiTheme="majorHAnsi" w:hAnsiTheme="majorHAnsi"/>
        </w:rPr>
      </w:pPr>
      <w:r w:rsidRPr="00EE35F4">
        <w:rPr>
          <w:rFonts w:asciiTheme="majorHAnsi" w:hAnsiTheme="majorHAnsi"/>
        </w:rPr>
        <w:t>Don Estep’s Proposal for Flexibility of Workload for Faculty</w:t>
      </w:r>
    </w:p>
    <w:p w14:paraId="18A03DD3" w14:textId="77777777" w:rsidR="005D3DF7" w:rsidRPr="00EE35F4" w:rsidRDefault="005D3DF7" w:rsidP="00B55FC2">
      <w:pPr>
        <w:numPr>
          <w:ilvl w:val="0"/>
          <w:numId w:val="26"/>
        </w:numPr>
        <w:spacing w:before="240" w:after="120"/>
        <w:ind w:hanging="360"/>
        <w:rPr>
          <w:rFonts w:asciiTheme="majorHAnsi" w:hAnsiTheme="majorHAnsi"/>
        </w:rPr>
      </w:pPr>
      <w:r w:rsidRPr="00EE35F4">
        <w:rPr>
          <w:rFonts w:asciiTheme="majorHAnsi" w:hAnsiTheme="majorHAnsi"/>
        </w:rPr>
        <w:t>Vancouver Community College</w:t>
      </w:r>
    </w:p>
    <w:p w14:paraId="56707BF4" w14:textId="77777777" w:rsidR="005D3DF7" w:rsidRPr="00EE35F4" w:rsidRDefault="005D3DF7" w:rsidP="00B55FC2">
      <w:pPr>
        <w:numPr>
          <w:ilvl w:val="0"/>
          <w:numId w:val="26"/>
        </w:numPr>
        <w:spacing w:before="240" w:after="120"/>
        <w:ind w:hanging="360"/>
        <w:rPr>
          <w:rFonts w:asciiTheme="majorHAnsi" w:hAnsiTheme="majorHAnsi"/>
        </w:rPr>
      </w:pPr>
      <w:r w:rsidRPr="00EE35F4">
        <w:rPr>
          <w:rFonts w:asciiTheme="majorHAnsi" w:hAnsiTheme="majorHAnsi"/>
        </w:rPr>
        <w:t>Portland State University Teaching-intensive Tenure</w:t>
      </w:r>
    </w:p>
    <w:p w14:paraId="3450113D" w14:textId="77777777" w:rsidR="005D3DF7" w:rsidRPr="00EE35F4" w:rsidRDefault="005D3DF7" w:rsidP="00B55FC2">
      <w:pPr>
        <w:numPr>
          <w:ilvl w:val="0"/>
          <w:numId w:val="26"/>
        </w:numPr>
        <w:spacing w:before="240" w:after="120"/>
        <w:ind w:hanging="360"/>
        <w:rPr>
          <w:rFonts w:asciiTheme="majorHAnsi" w:hAnsiTheme="majorHAnsi"/>
        </w:rPr>
      </w:pPr>
      <w:r w:rsidRPr="00EE35F4">
        <w:rPr>
          <w:rFonts w:asciiTheme="majorHAnsi" w:hAnsiTheme="majorHAnsi"/>
        </w:rPr>
        <w:t>The Delphi Project’s Recommendations</w:t>
      </w:r>
    </w:p>
    <w:p w14:paraId="7EB22394" w14:textId="77777777" w:rsidR="005D3DF7" w:rsidRPr="00EE35F4" w:rsidRDefault="005D3DF7" w:rsidP="00B55FC2">
      <w:pPr>
        <w:numPr>
          <w:ilvl w:val="0"/>
          <w:numId w:val="26"/>
        </w:numPr>
        <w:spacing w:before="240" w:after="120"/>
        <w:ind w:hanging="360"/>
        <w:rPr>
          <w:rFonts w:asciiTheme="majorHAnsi" w:hAnsiTheme="majorHAnsi"/>
        </w:rPr>
      </w:pPr>
      <w:r w:rsidRPr="00EE35F4">
        <w:rPr>
          <w:rFonts w:asciiTheme="majorHAnsi" w:hAnsiTheme="majorHAnsi"/>
        </w:rPr>
        <w:t>University of Illinois Specialized Faculty policy</w:t>
      </w:r>
    </w:p>
    <w:p w14:paraId="130BDD7A"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While no individual plan suited the current situation at CSU or the future we envision, all of these documents contributed to the development of this proposal.</w:t>
      </w:r>
    </w:p>
    <w:p w14:paraId="493C5CC6" w14:textId="469B21DA" w:rsidR="005D3DF7" w:rsidRPr="00312F0E" w:rsidRDefault="005D3DF7" w:rsidP="00312F0E">
      <w:pPr>
        <w:pStyle w:val="Heading3"/>
        <w:spacing w:before="360" w:after="0"/>
        <w:rPr>
          <w:color w:val="003300"/>
        </w:rPr>
      </w:pPr>
      <w:r w:rsidRPr="00312F0E">
        <w:rPr>
          <w:color w:val="003300"/>
          <w:u w:val="single"/>
        </w:rPr>
        <w:t>Phase 4:</w:t>
      </w:r>
      <w:r w:rsidRPr="00312F0E">
        <w:rPr>
          <w:color w:val="003300"/>
        </w:rPr>
        <w:t xml:space="preserve"> </w:t>
      </w:r>
      <w:r w:rsidR="0041061A" w:rsidRPr="00312F0E">
        <w:rPr>
          <w:color w:val="003300"/>
        </w:rPr>
        <w:t xml:space="preserve"> Review, Discussion, Revision</w:t>
      </w:r>
    </w:p>
    <w:p w14:paraId="2BBFEE66" w14:textId="77777777" w:rsidR="005D3DF7" w:rsidRPr="00EE35F4" w:rsidRDefault="005D3DF7" w:rsidP="005D3DF7">
      <w:pPr>
        <w:rPr>
          <w:rFonts w:asciiTheme="majorHAnsi" w:hAnsiTheme="majorHAnsi"/>
        </w:rPr>
      </w:pPr>
    </w:p>
    <w:p w14:paraId="7D298A0E" w14:textId="46E00F6A" w:rsidR="005D3DF7" w:rsidRPr="00EE35F4" w:rsidRDefault="005D3DF7" w:rsidP="005D3DF7">
      <w:pPr>
        <w:pStyle w:val="Heading3"/>
        <w:spacing w:before="0" w:after="0"/>
        <w:rPr>
          <w:sz w:val="22"/>
        </w:rPr>
      </w:pPr>
      <w:r w:rsidRPr="00EE35F4">
        <w:rPr>
          <w:sz w:val="22"/>
        </w:rPr>
        <w:t>In the Fall 2016, CoNTTF will forward this formal proposal to Faculty Council and will allow time for discussion, deliberation, and revision. However, CoNTTF calls for completion of deliberations by December of 201</w:t>
      </w:r>
      <w:r w:rsidR="000038DE" w:rsidRPr="00EE35F4">
        <w:rPr>
          <w:sz w:val="22"/>
        </w:rPr>
        <w:t xml:space="preserve">6. </w:t>
      </w:r>
    </w:p>
    <w:p w14:paraId="12C3C354" w14:textId="486E73DF" w:rsidR="005D3DF7" w:rsidRPr="00312F0E" w:rsidRDefault="005D3DF7" w:rsidP="00312F0E">
      <w:pPr>
        <w:pStyle w:val="Heading3"/>
        <w:spacing w:before="360" w:after="0"/>
        <w:rPr>
          <w:color w:val="003300"/>
        </w:rPr>
      </w:pPr>
      <w:r w:rsidRPr="00312F0E">
        <w:rPr>
          <w:color w:val="003300"/>
          <w:u w:val="single"/>
        </w:rPr>
        <w:t>Phase 5:</w:t>
      </w:r>
      <w:r w:rsidRPr="00312F0E">
        <w:rPr>
          <w:color w:val="003300"/>
        </w:rPr>
        <w:t xml:space="preserve"> </w:t>
      </w:r>
      <w:r w:rsidR="0041061A" w:rsidRPr="00312F0E">
        <w:rPr>
          <w:color w:val="003300"/>
        </w:rPr>
        <w:t>Implementation</w:t>
      </w:r>
    </w:p>
    <w:p w14:paraId="7B2917EC" w14:textId="77777777" w:rsidR="005D3DF7" w:rsidRPr="00EE35F4" w:rsidRDefault="005D3DF7" w:rsidP="005D3DF7">
      <w:pPr>
        <w:rPr>
          <w:rFonts w:asciiTheme="majorHAnsi" w:hAnsiTheme="majorHAnsi"/>
        </w:rPr>
      </w:pPr>
    </w:p>
    <w:p w14:paraId="7287B197" w14:textId="77777777" w:rsidR="005D3DF7" w:rsidRPr="00EE35F4" w:rsidRDefault="005D3DF7" w:rsidP="005D3DF7">
      <w:pPr>
        <w:pStyle w:val="Heading3"/>
        <w:spacing w:before="0" w:after="0"/>
        <w:rPr>
          <w:sz w:val="22"/>
          <w:szCs w:val="22"/>
        </w:rPr>
      </w:pPr>
      <w:r w:rsidRPr="00EE35F4">
        <w:rPr>
          <w:sz w:val="22"/>
          <w:szCs w:val="22"/>
        </w:rPr>
        <w:t xml:space="preserve">Spring 2017 through complete implementation of the comprehensive plan to revise the faculty appointments </w:t>
      </w:r>
    </w:p>
    <w:p w14:paraId="5AB4ED9B" w14:textId="77777777" w:rsidR="005D3DF7" w:rsidRPr="00EE35F4" w:rsidRDefault="005D3DF7" w:rsidP="005D3DF7">
      <w:pPr>
        <w:pStyle w:val="Heading4"/>
        <w:spacing w:before="240" w:after="120"/>
        <w:rPr>
          <w:rFonts w:asciiTheme="majorHAnsi" w:hAnsiTheme="majorHAnsi"/>
          <w:i w:val="0"/>
          <w:sz w:val="22"/>
          <w:szCs w:val="22"/>
        </w:rPr>
      </w:pPr>
      <w:r w:rsidRPr="00EE35F4">
        <w:rPr>
          <w:rFonts w:asciiTheme="majorHAnsi" w:hAnsiTheme="majorHAnsi"/>
          <w:i w:val="0"/>
          <w:sz w:val="22"/>
          <w:szCs w:val="22"/>
        </w:rPr>
        <w:t>CoNTTF anticipates the following areas will have to be coordinated in order to fulfill the goals of this proposal:</w:t>
      </w:r>
    </w:p>
    <w:p w14:paraId="6A0C47F8" w14:textId="77777777" w:rsidR="005D3DF7" w:rsidRPr="00EE35F4" w:rsidRDefault="005D3DF7" w:rsidP="00B55FC2">
      <w:pPr>
        <w:numPr>
          <w:ilvl w:val="0"/>
          <w:numId w:val="26"/>
        </w:numPr>
        <w:spacing w:after="120"/>
        <w:ind w:hanging="360"/>
        <w:rPr>
          <w:rFonts w:asciiTheme="majorHAnsi" w:hAnsiTheme="majorHAnsi"/>
        </w:rPr>
      </w:pPr>
      <w:r w:rsidRPr="00EE35F4">
        <w:rPr>
          <w:rFonts w:asciiTheme="majorHAnsi" w:hAnsiTheme="majorHAnsi"/>
        </w:rPr>
        <w:t>secure central funding through administration for all converted and newly hired teaching faculty</w:t>
      </w:r>
    </w:p>
    <w:p w14:paraId="7431EE2D" w14:textId="77777777" w:rsidR="005D3DF7" w:rsidRPr="00EE35F4" w:rsidRDefault="005D3DF7" w:rsidP="00B55FC2">
      <w:pPr>
        <w:numPr>
          <w:ilvl w:val="0"/>
          <w:numId w:val="26"/>
        </w:numPr>
        <w:spacing w:after="120"/>
        <w:ind w:hanging="360"/>
        <w:rPr>
          <w:rFonts w:asciiTheme="majorHAnsi" w:hAnsiTheme="majorHAnsi"/>
        </w:rPr>
      </w:pPr>
      <w:r w:rsidRPr="00EE35F4">
        <w:rPr>
          <w:rFonts w:asciiTheme="majorHAnsi" w:hAnsiTheme="majorHAnsi"/>
        </w:rPr>
        <w:t xml:space="preserve">identify, draft, and change policy elaborated in the </w:t>
      </w:r>
      <w:r w:rsidRPr="00EE35F4">
        <w:rPr>
          <w:rFonts w:asciiTheme="majorHAnsi" w:hAnsiTheme="majorHAnsi"/>
          <w:i/>
        </w:rPr>
        <w:t xml:space="preserve">Manual </w:t>
      </w:r>
    </w:p>
    <w:p w14:paraId="3A8B2291" w14:textId="77777777" w:rsidR="005D3DF7" w:rsidRPr="00EE35F4" w:rsidRDefault="005D3DF7" w:rsidP="00B55FC2">
      <w:pPr>
        <w:numPr>
          <w:ilvl w:val="0"/>
          <w:numId w:val="26"/>
        </w:numPr>
        <w:spacing w:after="120"/>
        <w:ind w:hanging="360"/>
        <w:rPr>
          <w:rFonts w:asciiTheme="majorHAnsi" w:hAnsiTheme="majorHAnsi"/>
        </w:rPr>
      </w:pPr>
      <w:r w:rsidRPr="00EE35F4">
        <w:rPr>
          <w:rFonts w:asciiTheme="majorHAnsi" w:hAnsiTheme="majorHAnsi"/>
        </w:rPr>
        <w:t>effect changes in Human Resources</w:t>
      </w:r>
    </w:p>
    <w:p w14:paraId="06B9F603" w14:textId="77777777" w:rsidR="005D3DF7" w:rsidRPr="00EE35F4" w:rsidRDefault="005D3DF7" w:rsidP="00B55FC2">
      <w:pPr>
        <w:numPr>
          <w:ilvl w:val="0"/>
          <w:numId w:val="26"/>
        </w:numPr>
        <w:spacing w:after="120"/>
        <w:ind w:hanging="360"/>
        <w:rPr>
          <w:rFonts w:asciiTheme="majorHAnsi" w:hAnsiTheme="majorHAnsi"/>
        </w:rPr>
      </w:pPr>
      <w:r w:rsidRPr="00EE35F4">
        <w:rPr>
          <w:rFonts w:asciiTheme="majorHAnsi" w:hAnsiTheme="majorHAnsi"/>
        </w:rPr>
        <w:t>specify hiring procedures with OEO</w:t>
      </w:r>
    </w:p>
    <w:p w14:paraId="271F82B2" w14:textId="77777777" w:rsidR="005D3DF7" w:rsidRPr="00EE35F4" w:rsidRDefault="005D3DF7" w:rsidP="00B55FC2">
      <w:pPr>
        <w:numPr>
          <w:ilvl w:val="0"/>
          <w:numId w:val="26"/>
        </w:numPr>
        <w:spacing w:after="120"/>
        <w:ind w:hanging="360"/>
        <w:rPr>
          <w:rFonts w:asciiTheme="majorHAnsi" w:hAnsiTheme="majorHAnsi"/>
        </w:rPr>
      </w:pPr>
      <w:r w:rsidRPr="00EE35F4">
        <w:rPr>
          <w:rFonts w:asciiTheme="majorHAnsi" w:hAnsiTheme="majorHAnsi"/>
        </w:rPr>
        <w:t>develop grievance process, policy, and support and codify these in the Manual</w:t>
      </w:r>
    </w:p>
    <w:p w14:paraId="7EE5A394" w14:textId="77777777" w:rsidR="005D3DF7" w:rsidRPr="00EE35F4" w:rsidRDefault="005D3DF7" w:rsidP="00B55FC2">
      <w:pPr>
        <w:numPr>
          <w:ilvl w:val="0"/>
          <w:numId w:val="26"/>
        </w:numPr>
        <w:spacing w:after="120"/>
        <w:ind w:hanging="360"/>
        <w:rPr>
          <w:rFonts w:asciiTheme="majorHAnsi" w:hAnsiTheme="majorHAnsi"/>
        </w:rPr>
      </w:pPr>
      <w:r w:rsidRPr="00EE35F4">
        <w:rPr>
          <w:rFonts w:asciiTheme="majorHAnsi" w:hAnsiTheme="majorHAnsi"/>
        </w:rPr>
        <w:t>require training in new policy for deans and department heads</w:t>
      </w:r>
    </w:p>
    <w:p w14:paraId="4AC15874" w14:textId="6952481B" w:rsidR="005D3DF7" w:rsidRPr="00EE35F4" w:rsidRDefault="005D3DF7" w:rsidP="00B55FC2">
      <w:pPr>
        <w:numPr>
          <w:ilvl w:val="0"/>
          <w:numId w:val="26"/>
        </w:numPr>
        <w:spacing w:after="120"/>
        <w:ind w:hanging="360"/>
        <w:rPr>
          <w:rFonts w:asciiTheme="majorHAnsi" w:hAnsiTheme="majorHAnsi"/>
        </w:rPr>
      </w:pPr>
      <w:r w:rsidRPr="00EE35F4">
        <w:rPr>
          <w:rFonts w:asciiTheme="majorHAnsi" w:hAnsiTheme="majorHAnsi"/>
        </w:rPr>
        <w:t xml:space="preserve">create reinforcement and </w:t>
      </w:r>
      <w:r w:rsidR="004725D0" w:rsidRPr="00EE35F4">
        <w:rPr>
          <w:rFonts w:asciiTheme="majorHAnsi" w:hAnsiTheme="majorHAnsi"/>
        </w:rPr>
        <w:t>incentives</w:t>
      </w:r>
      <w:r w:rsidRPr="00EE35F4">
        <w:rPr>
          <w:rFonts w:asciiTheme="majorHAnsi" w:hAnsiTheme="majorHAnsi"/>
        </w:rPr>
        <w:t xml:space="preserve"> for deans and department heads to ensure initial implementation and ongoing fulfillment</w:t>
      </w:r>
    </w:p>
    <w:p w14:paraId="766B455C" w14:textId="77777777" w:rsidR="005D3DF7" w:rsidRPr="00EE35F4" w:rsidRDefault="005D3DF7" w:rsidP="00B55FC2">
      <w:pPr>
        <w:numPr>
          <w:ilvl w:val="0"/>
          <w:numId w:val="26"/>
        </w:numPr>
        <w:spacing w:after="120"/>
        <w:ind w:hanging="360"/>
        <w:rPr>
          <w:rFonts w:asciiTheme="majorHAnsi" w:hAnsiTheme="majorHAnsi"/>
        </w:rPr>
      </w:pPr>
      <w:r w:rsidRPr="00EE35F4">
        <w:rPr>
          <w:rFonts w:asciiTheme="majorHAnsi" w:hAnsiTheme="majorHAnsi"/>
        </w:rPr>
        <w:t>convert existing NTTF to new faculty appointments</w:t>
      </w:r>
    </w:p>
    <w:p w14:paraId="0C50D7DB" w14:textId="77777777" w:rsidR="005D3DF7" w:rsidRPr="00EE35F4" w:rsidRDefault="005D3DF7" w:rsidP="00B55FC2">
      <w:pPr>
        <w:numPr>
          <w:ilvl w:val="0"/>
          <w:numId w:val="26"/>
        </w:numPr>
        <w:spacing w:after="120"/>
        <w:ind w:hanging="360"/>
        <w:rPr>
          <w:rFonts w:asciiTheme="majorHAnsi" w:hAnsiTheme="majorHAnsi"/>
        </w:rPr>
      </w:pPr>
      <w:r w:rsidRPr="00EE35F4">
        <w:rPr>
          <w:rFonts w:asciiTheme="majorHAnsi" w:hAnsiTheme="majorHAnsi"/>
        </w:rPr>
        <w:lastRenderedPageBreak/>
        <w:t>assess administrative professionals who currently teach for potential conversion of positions to new faculty types</w:t>
      </w:r>
    </w:p>
    <w:p w14:paraId="1475A2BC" w14:textId="77777777" w:rsidR="005D3DF7" w:rsidRPr="00EE35F4" w:rsidRDefault="005D3DF7" w:rsidP="00B55FC2">
      <w:pPr>
        <w:numPr>
          <w:ilvl w:val="0"/>
          <w:numId w:val="26"/>
        </w:numPr>
        <w:spacing w:after="120"/>
        <w:ind w:hanging="360"/>
        <w:rPr>
          <w:rFonts w:asciiTheme="majorHAnsi" w:hAnsiTheme="majorHAnsi"/>
        </w:rPr>
      </w:pPr>
      <w:r w:rsidRPr="00EE35F4">
        <w:rPr>
          <w:rFonts w:asciiTheme="majorHAnsi" w:hAnsiTheme="majorHAnsi"/>
        </w:rPr>
        <w:t>continue to educate the hearts and minds of tenure-track faculty, administrators, the Board of Governors, and broad publics so that there is fuller understanding of the roles of NTTF and the implications of contingency</w:t>
      </w:r>
    </w:p>
    <w:p w14:paraId="7FF0C648" w14:textId="70F289F3"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In order to ensure that faculty off of the tenure track receive the Provost’s original 6R’s in a timely manner, </w:t>
      </w:r>
      <w:r w:rsidR="00564B82">
        <w:rPr>
          <w:rFonts w:asciiTheme="majorHAnsi" w:hAnsiTheme="majorHAnsi"/>
        </w:rPr>
        <w:t>including</w:t>
      </w:r>
      <w:r w:rsidRPr="00EE35F4">
        <w:rPr>
          <w:rFonts w:asciiTheme="majorHAnsi" w:hAnsiTheme="majorHAnsi"/>
        </w:rPr>
        <w:t xml:space="preserve"> the Rights, Respect, Representation, Recognition, Res</w:t>
      </w:r>
      <w:r w:rsidR="00564B82">
        <w:rPr>
          <w:rFonts w:asciiTheme="majorHAnsi" w:hAnsiTheme="majorHAnsi"/>
        </w:rPr>
        <w:t>ources, and Remuneration that are</w:t>
      </w:r>
      <w:r w:rsidRPr="00EE35F4">
        <w:rPr>
          <w:rFonts w:asciiTheme="majorHAnsi" w:hAnsiTheme="majorHAnsi"/>
        </w:rPr>
        <w:t xml:space="preserve"> deserved, CoNTTF calls for the administration to provide a report 6 months from the date of receipt of this report to Faculty Council, CoNTTF, and the authors of this proposal, recording progress toward implementation. CoNTTF calls for subsequent reports of additional progress to follow at regular six month intervals.  </w:t>
      </w:r>
    </w:p>
    <w:p w14:paraId="52F3BD01" w14:textId="77777777" w:rsidR="005D3DF7" w:rsidRPr="00EE35F4" w:rsidRDefault="005D3DF7" w:rsidP="005D3DF7">
      <w:pPr>
        <w:rPr>
          <w:rFonts w:asciiTheme="majorHAnsi" w:hAnsiTheme="majorHAnsi"/>
          <w:b/>
          <w:color w:val="29401A"/>
          <w:sz w:val="28"/>
          <w:szCs w:val="24"/>
        </w:rPr>
      </w:pPr>
    </w:p>
    <w:p w14:paraId="6BA6AB26" w14:textId="3227DC58" w:rsidR="005D3DF7" w:rsidRPr="00E35770" w:rsidRDefault="005D3DF7" w:rsidP="005D3DF7">
      <w:pPr>
        <w:pStyle w:val="Heading3"/>
        <w:rPr>
          <w:color w:val="003300"/>
          <w:sz w:val="32"/>
        </w:rPr>
      </w:pPr>
      <w:r w:rsidRPr="00E35770">
        <w:rPr>
          <w:color w:val="003300"/>
          <w:sz w:val="32"/>
        </w:rPr>
        <w:t>Timeline of Proposal Development and Implementation</w:t>
      </w:r>
    </w:p>
    <w:p w14:paraId="3E3CE2ED" w14:textId="77777777" w:rsidR="0034796D" w:rsidRPr="0034796D" w:rsidRDefault="0034796D" w:rsidP="0034796D"/>
    <w:p w14:paraId="7400BE32" w14:textId="77777777" w:rsidR="005D3DF7" w:rsidRPr="00EE35F4" w:rsidRDefault="005D3DF7" w:rsidP="005D3DF7">
      <w:pPr>
        <w:pStyle w:val="Heading4"/>
        <w:spacing w:before="240" w:after="120"/>
        <w:ind w:left="-900"/>
        <w:jc w:val="center"/>
        <w:rPr>
          <w:rFonts w:asciiTheme="majorHAnsi" w:hAnsiTheme="majorHAnsi"/>
          <w:sz w:val="28"/>
        </w:rPr>
      </w:pPr>
      <w:r w:rsidRPr="00EE35F4">
        <w:rPr>
          <w:rFonts w:asciiTheme="majorHAnsi" w:hAnsiTheme="majorHAnsi"/>
          <w:noProof/>
          <w:sz w:val="28"/>
        </w:rPr>
        <w:drawing>
          <wp:inline distT="0" distB="0" distL="0" distR="0" wp14:anchorId="2B38E2BF" wp14:editId="5DFF565A">
            <wp:extent cx="7639782" cy="2286358"/>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33580" cy="2344356"/>
                    </a:xfrm>
                    <a:prstGeom prst="rect">
                      <a:avLst/>
                    </a:prstGeom>
                  </pic:spPr>
                </pic:pic>
              </a:graphicData>
            </a:graphic>
          </wp:inline>
        </w:drawing>
      </w:r>
    </w:p>
    <w:p w14:paraId="5B8D8BDC" w14:textId="77777777" w:rsidR="005D3DF7" w:rsidRPr="00EE35F4" w:rsidRDefault="005D3DF7" w:rsidP="005D3DF7">
      <w:pPr>
        <w:rPr>
          <w:rFonts w:asciiTheme="majorHAnsi" w:hAnsiTheme="majorHAnsi"/>
          <w:b/>
          <w:sz w:val="28"/>
          <w:szCs w:val="28"/>
        </w:rPr>
      </w:pPr>
      <w:bookmarkStart w:id="18" w:name="h.35nkun2" w:colFirst="0" w:colLast="0"/>
      <w:bookmarkStart w:id="19" w:name="h.1ksv4uv" w:colFirst="0" w:colLast="0"/>
      <w:bookmarkStart w:id="20" w:name="h.44sinio" w:colFirst="0" w:colLast="0"/>
      <w:bookmarkStart w:id="21" w:name="_Toc452993101"/>
      <w:bookmarkEnd w:id="18"/>
      <w:bookmarkEnd w:id="19"/>
      <w:bookmarkEnd w:id="20"/>
      <w:r w:rsidRPr="00EE35F4">
        <w:rPr>
          <w:rFonts w:asciiTheme="majorHAnsi" w:hAnsiTheme="majorHAnsi"/>
          <w:b/>
          <w:sz w:val="28"/>
          <w:szCs w:val="28"/>
        </w:rPr>
        <w:br w:type="page"/>
      </w:r>
    </w:p>
    <w:p w14:paraId="603B4EF6" w14:textId="77777777" w:rsidR="005D3DF7" w:rsidRPr="00312F0E" w:rsidRDefault="005D3DF7" w:rsidP="005D3DF7">
      <w:pPr>
        <w:spacing w:before="240" w:after="120"/>
        <w:ind w:firstLine="0"/>
        <w:rPr>
          <w:rFonts w:asciiTheme="majorHAnsi" w:hAnsiTheme="majorHAnsi"/>
          <w:b/>
          <w:color w:val="003300"/>
          <w:sz w:val="32"/>
          <w:szCs w:val="28"/>
        </w:rPr>
      </w:pPr>
      <w:r w:rsidRPr="00312F0E">
        <w:rPr>
          <w:rFonts w:asciiTheme="majorHAnsi" w:hAnsiTheme="majorHAnsi"/>
          <w:b/>
          <w:color w:val="003300"/>
          <w:sz w:val="32"/>
          <w:szCs w:val="28"/>
        </w:rPr>
        <w:lastRenderedPageBreak/>
        <w:t>References</w:t>
      </w:r>
      <w:bookmarkEnd w:id="21"/>
    </w:p>
    <w:p w14:paraId="5E511D9D"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Boyer Commission on Educating Undergraduates in the Research University. (1998). Reinventing Undergraduate Education: A Blueprint for America’s Research Universities. Retrieved from http://reinventioncenter.colostate.edu/the-boyer-report/</w:t>
      </w:r>
    </w:p>
    <w:p w14:paraId="68E9FF9A"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 xml:space="preserve"> Boyer, Ernst L. (1990). Scholarship Reconsidered: Priorities of the Professorate. The Carnegie Foundation for the Advancement of Teaching.</w:t>
      </w:r>
    </w:p>
    <w:p w14:paraId="73FFA28A"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 xml:space="preserve"> Center for the Study of Academic Labor. (2014).</w:t>
      </w:r>
      <w:r w:rsidRPr="00EE35F4">
        <w:rPr>
          <w:rFonts w:asciiTheme="majorHAnsi" w:hAnsiTheme="majorHAnsi"/>
          <w:i/>
        </w:rPr>
        <w:t xml:space="preserve"> Report: Survey of Nontenure-track Faculty at Colorado State University 2014</w:t>
      </w:r>
      <w:r w:rsidRPr="00EE35F4">
        <w:rPr>
          <w:rFonts w:asciiTheme="majorHAnsi" w:hAnsiTheme="majorHAnsi"/>
        </w:rPr>
        <w:t xml:space="preserve">. Retrieved from </w:t>
      </w:r>
      <w:hyperlink r:id="rId14" w:history="1">
        <w:r w:rsidRPr="00EE35F4">
          <w:rPr>
            <w:rStyle w:val="Hyperlink"/>
            <w:rFonts w:asciiTheme="majorHAnsi" w:hAnsiTheme="majorHAnsi"/>
          </w:rPr>
          <w:t>http://csal.colostate.edu/csu/surveys/</w:t>
        </w:r>
      </w:hyperlink>
    </w:p>
    <w:p w14:paraId="310B820B"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 xml:space="preserve">Colorado State University. (2015). </w:t>
      </w:r>
      <w:r w:rsidRPr="00EE35F4">
        <w:rPr>
          <w:rFonts w:asciiTheme="majorHAnsi" w:hAnsiTheme="majorHAnsi"/>
          <w:i/>
        </w:rPr>
        <w:t>Fact Book 2015-2016.</w:t>
      </w:r>
      <w:r w:rsidRPr="00EE35F4">
        <w:rPr>
          <w:rFonts w:asciiTheme="majorHAnsi" w:hAnsiTheme="majorHAnsi"/>
        </w:rPr>
        <w:t xml:space="preserve"> Retrieved from http://www.ir.colostate.edu/data-reports/fact-publications/factbook/</w:t>
      </w:r>
    </w:p>
    <w:p w14:paraId="2188A7DB"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 xml:space="preserve"> Colorado State University. (2015). Guiding Principles. </w:t>
      </w:r>
      <w:r w:rsidRPr="00EE35F4">
        <w:rPr>
          <w:rFonts w:asciiTheme="majorHAnsi" w:hAnsiTheme="majorHAnsi"/>
          <w:i/>
        </w:rPr>
        <w:t>2015-2016 Catalog</w:t>
      </w:r>
      <w:r w:rsidRPr="00EE35F4">
        <w:rPr>
          <w:rFonts w:asciiTheme="majorHAnsi" w:hAnsiTheme="majorHAnsi"/>
        </w:rPr>
        <w:t>. Retrieved from http://catalog.colostate.edu/general-catalog/welcome/mission-values/#guiding-principles</w:t>
      </w:r>
    </w:p>
    <w:p w14:paraId="129C3775"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 xml:space="preserve"> Colorado State University. (2010). Mission, Vision, and Values. Retrieved from http://csusystem.edu/about/mission-vision-values.</w:t>
      </w:r>
    </w:p>
    <w:p w14:paraId="0E082E24"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 xml:space="preserve"> Colorado State University. (2015). </w:t>
      </w:r>
      <w:r w:rsidRPr="00EE35F4">
        <w:rPr>
          <w:rFonts w:asciiTheme="majorHAnsi" w:hAnsiTheme="majorHAnsi"/>
          <w:i/>
        </w:rPr>
        <w:t>Strategic Plan.</w:t>
      </w:r>
      <w:r w:rsidRPr="00EE35F4">
        <w:rPr>
          <w:rFonts w:asciiTheme="majorHAnsi" w:hAnsiTheme="majorHAnsi"/>
        </w:rPr>
        <w:t xml:space="preserve"> </w:t>
      </w:r>
      <w:r w:rsidRPr="00EE35F4">
        <w:rPr>
          <w:rFonts w:asciiTheme="majorHAnsi" w:hAnsiTheme="majorHAnsi"/>
          <w:i/>
        </w:rPr>
        <w:t>2015-2016 Catalog</w:t>
      </w:r>
      <w:r w:rsidRPr="00EE35F4">
        <w:rPr>
          <w:rFonts w:asciiTheme="majorHAnsi" w:hAnsiTheme="majorHAnsi"/>
        </w:rPr>
        <w:t>. Retrieved from http://catalog.colostate.edu/general-catalog/welcome/mission-values/#strategic-plan</w:t>
      </w:r>
    </w:p>
    <w:p w14:paraId="6ADEDC1D"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 xml:space="preserve"> Colorado State University Faculty Council. (2016). </w:t>
      </w:r>
      <w:r w:rsidRPr="00EE35F4">
        <w:rPr>
          <w:rFonts w:asciiTheme="majorHAnsi" w:hAnsiTheme="majorHAnsi"/>
          <w:i/>
        </w:rPr>
        <w:t xml:space="preserve">Academic Faculty and Administrative Professional Manual. </w:t>
      </w:r>
      <w:r w:rsidRPr="00EE35F4">
        <w:rPr>
          <w:rFonts w:asciiTheme="majorHAnsi" w:hAnsiTheme="majorHAnsi"/>
        </w:rPr>
        <w:t>Retrieved from http://facultycouncil.colostate.edu/faculty-manual/</w:t>
      </w:r>
    </w:p>
    <w:p w14:paraId="02AF37DB"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 xml:space="preserve"> Kezar, Adrianna J. (2012).</w:t>
      </w:r>
      <w:r w:rsidRPr="00EE35F4">
        <w:rPr>
          <w:rFonts w:asciiTheme="majorHAnsi" w:hAnsiTheme="majorHAnsi"/>
          <w:i/>
        </w:rPr>
        <w:t xml:space="preserve"> Embracing Non-Tenure Track Faculty: Changing Campuses for the New Faculty Majority</w:t>
      </w:r>
      <w:r w:rsidRPr="00EE35F4">
        <w:rPr>
          <w:rFonts w:asciiTheme="majorHAnsi" w:hAnsiTheme="majorHAnsi"/>
        </w:rPr>
        <w:t>. New York: Routledge.</w:t>
      </w:r>
    </w:p>
    <w:p w14:paraId="16FE6EA7"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 xml:space="preserve">Provost’s Task Force for Special and Temporary Faculty. (2009). </w:t>
      </w:r>
      <w:r w:rsidRPr="00EE35F4">
        <w:rPr>
          <w:rFonts w:asciiTheme="majorHAnsi" w:hAnsiTheme="majorHAnsi"/>
          <w:i/>
        </w:rPr>
        <w:t>Report of the Survey of Contingent Faculty at Colorado State University</w:t>
      </w:r>
      <w:r w:rsidRPr="00EE35F4">
        <w:rPr>
          <w:rFonts w:asciiTheme="majorHAnsi" w:hAnsiTheme="majorHAnsi"/>
        </w:rPr>
        <w:t xml:space="preserve"> – 2009. Retrieved from http://csal.colostate.edu/wp-content/uploads/2014/12/2009-survey-report-of-the-survey-of-contingent-faculty-at-CSU-2009.pdf</w:t>
      </w:r>
    </w:p>
    <w:p w14:paraId="39E7C8F3"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 xml:space="preserve"> University Distinguished Teaching Scholars/TILT. (2015). </w:t>
      </w:r>
      <w:r w:rsidRPr="00EE35F4">
        <w:rPr>
          <w:rFonts w:asciiTheme="majorHAnsi" w:hAnsiTheme="majorHAnsi"/>
          <w:i/>
        </w:rPr>
        <w:t>Evaluating Teaching Effectiveness Task Force Report</w:t>
      </w:r>
      <w:r w:rsidRPr="00EE35F4">
        <w:rPr>
          <w:rFonts w:asciiTheme="majorHAnsi" w:hAnsiTheme="majorHAnsi"/>
        </w:rPr>
        <w:t xml:space="preserve">. Retrieved from http://tilt.colostate.edu/sotl/taskForces/effectiveness/pdfs/report-full.pdf </w:t>
      </w:r>
      <w:bookmarkStart w:id="22" w:name="_Toc452993102"/>
    </w:p>
    <w:p w14:paraId="0C14D950" w14:textId="77777777" w:rsidR="005D3DF7" w:rsidRPr="00EE35F4" w:rsidRDefault="005D3DF7" w:rsidP="005D3DF7">
      <w:pPr>
        <w:rPr>
          <w:rFonts w:asciiTheme="majorHAnsi" w:hAnsiTheme="majorHAnsi"/>
          <w:sz w:val="48"/>
          <w:szCs w:val="48"/>
        </w:rPr>
      </w:pPr>
      <w:r w:rsidRPr="00EE35F4">
        <w:rPr>
          <w:rFonts w:asciiTheme="majorHAnsi" w:hAnsiTheme="majorHAnsi"/>
          <w:sz w:val="48"/>
          <w:szCs w:val="48"/>
        </w:rPr>
        <w:br w:type="page"/>
      </w:r>
    </w:p>
    <w:p w14:paraId="16E18D09" w14:textId="77777777" w:rsidR="005D3DF7" w:rsidRPr="00EE35F4" w:rsidRDefault="005D3DF7" w:rsidP="005D3DF7">
      <w:pPr>
        <w:spacing w:before="240" w:after="120"/>
        <w:jc w:val="center"/>
        <w:rPr>
          <w:rFonts w:asciiTheme="majorHAnsi" w:hAnsiTheme="majorHAnsi"/>
          <w:sz w:val="48"/>
          <w:szCs w:val="48"/>
        </w:rPr>
      </w:pPr>
    </w:p>
    <w:p w14:paraId="65EC43DF" w14:textId="77777777" w:rsidR="005D3DF7" w:rsidRPr="00EE35F4" w:rsidRDefault="005D3DF7" w:rsidP="005D3DF7">
      <w:pPr>
        <w:spacing w:before="240" w:after="120"/>
        <w:jc w:val="center"/>
        <w:rPr>
          <w:rFonts w:asciiTheme="majorHAnsi" w:hAnsiTheme="majorHAnsi"/>
          <w:sz w:val="48"/>
          <w:szCs w:val="48"/>
        </w:rPr>
      </w:pPr>
    </w:p>
    <w:p w14:paraId="33F4A54B" w14:textId="77777777" w:rsidR="005D3DF7" w:rsidRPr="00EE35F4" w:rsidRDefault="005D3DF7" w:rsidP="005D3DF7">
      <w:pPr>
        <w:spacing w:before="240" w:after="120"/>
        <w:jc w:val="center"/>
        <w:rPr>
          <w:rFonts w:asciiTheme="majorHAnsi" w:hAnsiTheme="majorHAnsi"/>
          <w:sz w:val="48"/>
          <w:szCs w:val="48"/>
        </w:rPr>
      </w:pPr>
    </w:p>
    <w:p w14:paraId="4B75FB92" w14:textId="77777777" w:rsidR="005D3DF7" w:rsidRPr="00EE35F4" w:rsidRDefault="005D3DF7" w:rsidP="005D3DF7">
      <w:pPr>
        <w:spacing w:before="240" w:after="120"/>
        <w:jc w:val="center"/>
        <w:rPr>
          <w:rFonts w:asciiTheme="majorHAnsi" w:hAnsiTheme="majorHAnsi"/>
          <w:sz w:val="48"/>
          <w:szCs w:val="48"/>
        </w:rPr>
      </w:pPr>
    </w:p>
    <w:p w14:paraId="0840FB44" w14:textId="77777777" w:rsidR="005D3DF7" w:rsidRPr="00312F0E" w:rsidRDefault="005D3DF7" w:rsidP="005D3DF7">
      <w:pPr>
        <w:spacing w:before="240" w:after="120"/>
        <w:jc w:val="center"/>
        <w:rPr>
          <w:rFonts w:asciiTheme="majorHAnsi" w:hAnsiTheme="majorHAnsi"/>
          <w:color w:val="003300"/>
          <w:sz w:val="48"/>
          <w:szCs w:val="48"/>
        </w:rPr>
      </w:pPr>
      <w:r w:rsidRPr="00312F0E">
        <w:rPr>
          <w:rFonts w:asciiTheme="majorHAnsi" w:hAnsiTheme="majorHAnsi"/>
          <w:color w:val="003300"/>
          <w:sz w:val="48"/>
          <w:szCs w:val="48"/>
        </w:rPr>
        <w:t>Appendices</w:t>
      </w:r>
      <w:bookmarkEnd w:id="22"/>
    </w:p>
    <w:p w14:paraId="3FF41068" w14:textId="77777777" w:rsidR="005D3DF7" w:rsidRPr="00EE35F4" w:rsidRDefault="005D3DF7" w:rsidP="005D3DF7">
      <w:pPr>
        <w:spacing w:before="240" w:after="120"/>
        <w:rPr>
          <w:rFonts w:asciiTheme="majorHAnsi" w:hAnsiTheme="majorHAnsi"/>
          <w:sz w:val="24"/>
        </w:rPr>
      </w:pPr>
      <w:r w:rsidRPr="00EE35F4">
        <w:rPr>
          <w:rFonts w:asciiTheme="majorHAnsi" w:hAnsiTheme="majorHAnsi"/>
          <w:sz w:val="24"/>
        </w:rPr>
        <w:br w:type="page"/>
      </w:r>
    </w:p>
    <w:p w14:paraId="1126422C" w14:textId="77777777" w:rsidR="005D3DF7" w:rsidRPr="00312F0E" w:rsidRDefault="005D3DF7" w:rsidP="005D3DF7">
      <w:pPr>
        <w:pStyle w:val="Heading2"/>
        <w:spacing w:before="240" w:after="120"/>
        <w:rPr>
          <w:rFonts w:asciiTheme="majorHAnsi" w:hAnsiTheme="majorHAnsi"/>
          <w:b/>
          <w:color w:val="003300"/>
          <w:sz w:val="28"/>
        </w:rPr>
      </w:pPr>
      <w:bookmarkStart w:id="23" w:name="h.2jxsxqh" w:colFirst="0" w:colLast="0"/>
      <w:bookmarkStart w:id="24" w:name="h.z337ya" w:colFirst="0" w:colLast="0"/>
      <w:bookmarkStart w:id="25" w:name="_Toc452993103"/>
      <w:bookmarkEnd w:id="23"/>
      <w:bookmarkEnd w:id="24"/>
      <w:r w:rsidRPr="00312F0E">
        <w:rPr>
          <w:rFonts w:asciiTheme="majorHAnsi" w:hAnsiTheme="majorHAnsi"/>
          <w:b/>
          <w:color w:val="003300"/>
          <w:sz w:val="32"/>
          <w:szCs w:val="28"/>
        </w:rPr>
        <w:lastRenderedPageBreak/>
        <w:t>Appendix A: Granting &amp; Sustaining the Re-Envisioned Faculty Appointments –Hiring New Teaching Faculty, Converting Current Faculty &amp; Evaluating All Teaching Faculty</w:t>
      </w:r>
      <w:bookmarkEnd w:id="25"/>
    </w:p>
    <w:p w14:paraId="03C5440A" w14:textId="77777777" w:rsidR="005D3DF7" w:rsidRPr="00E35770" w:rsidRDefault="005D3DF7" w:rsidP="00E35770">
      <w:pPr>
        <w:pStyle w:val="Heading5"/>
        <w:spacing w:before="360" w:after="120"/>
        <w:rPr>
          <w:rFonts w:asciiTheme="majorHAnsi" w:hAnsiTheme="majorHAnsi"/>
          <w:color w:val="003300"/>
          <w:sz w:val="28"/>
        </w:rPr>
      </w:pPr>
      <w:r w:rsidRPr="00E35770">
        <w:rPr>
          <w:rFonts w:asciiTheme="majorHAnsi" w:hAnsiTheme="majorHAnsi"/>
          <w:color w:val="003300"/>
          <w:sz w:val="28"/>
        </w:rPr>
        <w:t>The new appointment types will be as follows:</w:t>
      </w:r>
    </w:p>
    <w:p w14:paraId="41CFF3FF" w14:textId="11EDA911" w:rsidR="005D3DF7" w:rsidRPr="00EE35F4" w:rsidRDefault="005D3DF7" w:rsidP="00E35770">
      <w:pPr>
        <w:tabs>
          <w:tab w:val="left" w:pos="900"/>
        </w:tabs>
        <w:spacing w:before="240" w:after="120"/>
        <w:ind w:left="900" w:hanging="180"/>
        <w:rPr>
          <w:rFonts w:asciiTheme="majorHAnsi" w:hAnsiTheme="majorHAnsi"/>
        </w:rPr>
      </w:pPr>
      <w:r w:rsidRPr="00EE35F4">
        <w:rPr>
          <w:rFonts w:asciiTheme="majorHAnsi" w:hAnsiTheme="majorHAnsi"/>
          <w:b/>
        </w:rPr>
        <w:t>Teaching Faculty</w:t>
      </w:r>
      <w:r w:rsidRPr="00EE35F4">
        <w:rPr>
          <w:rFonts w:asciiTheme="majorHAnsi" w:hAnsiTheme="majorHAnsi"/>
        </w:rPr>
        <w:t>--80% of all teaching faculty off of the tenure track, full time with 50-95% FTE workload distribution in teaching</w:t>
      </w:r>
    </w:p>
    <w:p w14:paraId="61D05899" w14:textId="22362F41" w:rsidR="005D3DF7" w:rsidRPr="00EE35F4" w:rsidRDefault="005D3DF7" w:rsidP="00E35770">
      <w:pPr>
        <w:spacing w:before="240" w:after="120"/>
        <w:ind w:left="1260" w:hanging="180"/>
        <w:rPr>
          <w:rFonts w:asciiTheme="majorHAnsi" w:hAnsiTheme="majorHAnsi"/>
        </w:rPr>
      </w:pPr>
      <w:r w:rsidRPr="00EE35F4">
        <w:rPr>
          <w:rFonts w:asciiTheme="majorHAnsi" w:hAnsiTheme="majorHAnsi"/>
          <w:i/>
        </w:rPr>
        <w:t>Junior Teaching Faculty</w:t>
      </w:r>
      <w:r w:rsidRPr="00EE35F4">
        <w:rPr>
          <w:rFonts w:asciiTheme="majorHAnsi" w:hAnsiTheme="majorHAnsi"/>
        </w:rPr>
        <w:t>, who may be appointed on probation for a maximum of two years, followed by rolling and renewable multi-year contracts until reaching eligibility for the Senior Teaching Faculty appointment</w:t>
      </w:r>
      <w:r w:rsidR="003015C0" w:rsidRPr="00EE35F4">
        <w:rPr>
          <w:rFonts w:asciiTheme="majorHAnsi" w:hAnsiTheme="majorHAnsi"/>
        </w:rPr>
        <w:t>.</w:t>
      </w:r>
    </w:p>
    <w:p w14:paraId="10E3D30E" w14:textId="7F5438BC" w:rsidR="005D3DF7" w:rsidRPr="00EE35F4" w:rsidRDefault="005D3DF7" w:rsidP="00E35770">
      <w:pPr>
        <w:spacing w:before="240" w:after="120"/>
        <w:ind w:left="1260" w:right="-126" w:hanging="180"/>
        <w:rPr>
          <w:rFonts w:asciiTheme="majorHAnsi" w:hAnsiTheme="majorHAnsi"/>
        </w:rPr>
      </w:pPr>
      <w:r w:rsidRPr="00EE35F4">
        <w:rPr>
          <w:rFonts w:asciiTheme="majorHAnsi" w:hAnsiTheme="majorHAnsi"/>
          <w:i/>
        </w:rPr>
        <w:t>Senior Teaching Faculty</w:t>
      </w:r>
      <w:r w:rsidRPr="00EE35F4">
        <w:rPr>
          <w:rFonts w:asciiTheme="majorHAnsi" w:hAnsiTheme="majorHAnsi"/>
        </w:rPr>
        <w:t xml:space="preserve">, who are appointed on rolling and renewable multi-year </w:t>
      </w:r>
      <w:r w:rsidR="00D9344A" w:rsidRPr="00EE35F4">
        <w:rPr>
          <w:rFonts w:asciiTheme="majorHAnsi" w:hAnsiTheme="majorHAnsi"/>
        </w:rPr>
        <w:t>c</w:t>
      </w:r>
      <w:r w:rsidRPr="00EE35F4">
        <w:rPr>
          <w:rFonts w:asciiTheme="majorHAnsi" w:hAnsiTheme="majorHAnsi"/>
        </w:rPr>
        <w:t>ontracts</w:t>
      </w:r>
    </w:p>
    <w:p w14:paraId="1E6C71C2" w14:textId="7DAAF7AB" w:rsidR="007C5120" w:rsidRPr="00EE35F4" w:rsidRDefault="005D3DF7" w:rsidP="00E35770">
      <w:pPr>
        <w:ind w:left="900" w:hanging="180"/>
        <w:rPr>
          <w:rFonts w:asciiTheme="majorHAnsi" w:hAnsiTheme="majorHAnsi"/>
        </w:rPr>
      </w:pPr>
      <w:r w:rsidRPr="00EE35F4">
        <w:rPr>
          <w:rFonts w:asciiTheme="majorHAnsi" w:hAnsiTheme="majorHAnsi"/>
          <w:b/>
        </w:rPr>
        <w:t>Adjunct Faculty</w:t>
      </w:r>
      <w:r w:rsidRPr="00EE35F4">
        <w:rPr>
          <w:rFonts w:asciiTheme="majorHAnsi" w:hAnsiTheme="majorHAnsi"/>
        </w:rPr>
        <w:t>--10% of all teaching faculty off of the tenure track, part time or 0-49</w:t>
      </w:r>
      <w:r w:rsidR="00D9344A" w:rsidRPr="00EE35F4">
        <w:rPr>
          <w:rFonts w:asciiTheme="majorHAnsi" w:hAnsiTheme="majorHAnsi"/>
        </w:rPr>
        <w:t>%</w:t>
      </w:r>
    </w:p>
    <w:p w14:paraId="0F248207" w14:textId="0268A798" w:rsidR="005D3DF7" w:rsidRPr="00EE35F4" w:rsidRDefault="005D3DF7" w:rsidP="00E35770">
      <w:pPr>
        <w:ind w:left="900" w:hanging="180"/>
        <w:rPr>
          <w:rFonts w:asciiTheme="majorHAnsi" w:hAnsiTheme="majorHAnsi"/>
        </w:rPr>
      </w:pPr>
      <w:r w:rsidRPr="00EE35F4">
        <w:rPr>
          <w:rFonts w:asciiTheme="majorHAnsi" w:hAnsiTheme="majorHAnsi"/>
        </w:rPr>
        <w:t>FTE with 100% workload distribution in teaching</w:t>
      </w:r>
    </w:p>
    <w:p w14:paraId="069CF407" w14:textId="763C9317" w:rsidR="005D3DF7" w:rsidRPr="00EE35F4" w:rsidRDefault="005D3DF7" w:rsidP="00E35770">
      <w:pPr>
        <w:spacing w:before="240" w:after="120"/>
        <w:ind w:left="900" w:hanging="180"/>
        <w:rPr>
          <w:rFonts w:asciiTheme="majorHAnsi" w:hAnsiTheme="majorHAnsi"/>
        </w:rPr>
      </w:pPr>
      <w:r w:rsidRPr="00EE35F4">
        <w:rPr>
          <w:rFonts w:asciiTheme="majorHAnsi" w:hAnsiTheme="majorHAnsi"/>
          <w:b/>
        </w:rPr>
        <w:t xml:space="preserve">Temporary </w:t>
      </w:r>
      <w:r w:rsidR="00E35770">
        <w:rPr>
          <w:rFonts w:asciiTheme="majorHAnsi" w:hAnsiTheme="majorHAnsi"/>
          <w:b/>
        </w:rPr>
        <w:t xml:space="preserve">Teaching </w:t>
      </w:r>
      <w:r w:rsidRPr="00EE35F4">
        <w:rPr>
          <w:rFonts w:asciiTheme="majorHAnsi" w:hAnsiTheme="majorHAnsi"/>
          <w:b/>
        </w:rPr>
        <w:t>Faculty</w:t>
      </w:r>
      <w:r w:rsidRPr="00EE35F4">
        <w:rPr>
          <w:rFonts w:asciiTheme="majorHAnsi" w:hAnsiTheme="majorHAnsi"/>
        </w:rPr>
        <w:t>--10% of all teaching faculty off of the tenure track, may be part or full time but appointments may not extend beyond one academic year or three consecutive semesters, 100% workload distribution in teaching</w:t>
      </w:r>
    </w:p>
    <w:p w14:paraId="4E4A6DD5" w14:textId="77777777" w:rsidR="005D3DF7" w:rsidRPr="00EE35F4" w:rsidRDefault="005D3DF7" w:rsidP="00E35770">
      <w:pPr>
        <w:spacing w:before="240" w:after="120"/>
        <w:ind w:left="900" w:hanging="180"/>
        <w:rPr>
          <w:rFonts w:asciiTheme="majorHAnsi" w:hAnsiTheme="majorHAnsi"/>
        </w:rPr>
      </w:pPr>
      <w:r w:rsidRPr="00EE35F4">
        <w:rPr>
          <w:rFonts w:asciiTheme="majorHAnsi" w:hAnsiTheme="majorHAnsi"/>
          <w:b/>
        </w:rPr>
        <w:t>Specialized Research Faculty</w:t>
      </w:r>
      <w:r w:rsidRPr="00EE35F4">
        <w:rPr>
          <w:rFonts w:asciiTheme="majorHAnsi" w:hAnsiTheme="majorHAnsi"/>
        </w:rPr>
        <w:t xml:space="preserve">--full time faculty off of the tenure track with 60% workload distribution in research </w:t>
      </w:r>
    </w:p>
    <w:p w14:paraId="1864748D" w14:textId="77777777" w:rsidR="005D3DF7" w:rsidRPr="00EE35F4" w:rsidRDefault="005D3DF7" w:rsidP="00E35770">
      <w:pPr>
        <w:spacing w:before="240" w:after="120"/>
        <w:ind w:left="900" w:hanging="180"/>
        <w:rPr>
          <w:rFonts w:asciiTheme="majorHAnsi" w:hAnsiTheme="majorHAnsi"/>
        </w:rPr>
      </w:pPr>
      <w:r w:rsidRPr="00EE35F4">
        <w:rPr>
          <w:rFonts w:asciiTheme="majorHAnsi" w:hAnsiTheme="majorHAnsi"/>
          <w:b/>
        </w:rPr>
        <w:t>Specialized Clinical Faculty</w:t>
      </w:r>
      <w:r w:rsidRPr="00EE35F4">
        <w:rPr>
          <w:rFonts w:asciiTheme="majorHAnsi" w:hAnsiTheme="majorHAnsi"/>
        </w:rPr>
        <w:t>--full time faculty off of the tenure track with 60% workload distribution in clinical responsibilities</w:t>
      </w:r>
    </w:p>
    <w:p w14:paraId="60D7F57A" w14:textId="77777777" w:rsidR="005D3DF7" w:rsidRPr="00E35770" w:rsidRDefault="005D3DF7" w:rsidP="00E35770">
      <w:pPr>
        <w:pStyle w:val="Heading5"/>
        <w:spacing w:before="360" w:after="120"/>
        <w:rPr>
          <w:rFonts w:asciiTheme="majorHAnsi" w:hAnsiTheme="majorHAnsi"/>
          <w:color w:val="003300"/>
          <w:sz w:val="26"/>
          <w:szCs w:val="26"/>
        </w:rPr>
      </w:pPr>
      <w:r w:rsidRPr="00E35770">
        <w:rPr>
          <w:rFonts w:asciiTheme="majorHAnsi" w:hAnsiTheme="majorHAnsi"/>
          <w:color w:val="003300"/>
          <w:sz w:val="26"/>
          <w:szCs w:val="26"/>
        </w:rPr>
        <w:t>Hiring New Faculty</w:t>
      </w:r>
    </w:p>
    <w:p w14:paraId="57F12242" w14:textId="77777777" w:rsidR="005D3DF7" w:rsidRPr="00EE35F4" w:rsidRDefault="005D3DF7" w:rsidP="005D3DF7">
      <w:pPr>
        <w:spacing w:before="240" w:after="120"/>
        <w:rPr>
          <w:rFonts w:asciiTheme="majorHAnsi" w:hAnsiTheme="majorHAnsi"/>
        </w:rPr>
      </w:pPr>
      <w:r w:rsidRPr="00EE35F4">
        <w:rPr>
          <w:rFonts w:asciiTheme="majorHAnsi" w:hAnsiTheme="majorHAnsi"/>
        </w:rPr>
        <w:t>All hires of new faculty off of the tenure track will be in accordance with these new appointment types. OEO and HR will need to ensure that all new hires are brought on in accordance with legal policies and procedures, assigned to an appropriate appointment type that corresponds to their expected percent FTE, workload distribution, and anticipated length of hire. These offices alongside administration will need to ensure that offer letters for these new hires clearly stipulate appointment type, expected percent FTE, workload distribution, anticipated length of hire, and an evaluation timeline and process (or guidance on where to find information about the process).</w:t>
      </w:r>
    </w:p>
    <w:p w14:paraId="58BC2F1E" w14:textId="77777777" w:rsidR="005D3DF7" w:rsidRPr="00E35770" w:rsidRDefault="005D3DF7" w:rsidP="00E35770">
      <w:pPr>
        <w:pStyle w:val="Heading5"/>
        <w:spacing w:before="360" w:after="120"/>
        <w:rPr>
          <w:rFonts w:asciiTheme="majorHAnsi" w:hAnsiTheme="majorHAnsi"/>
          <w:color w:val="003300"/>
          <w:sz w:val="28"/>
        </w:rPr>
      </w:pPr>
      <w:r w:rsidRPr="00E35770">
        <w:rPr>
          <w:rFonts w:asciiTheme="majorHAnsi" w:hAnsiTheme="majorHAnsi"/>
          <w:color w:val="003300"/>
          <w:sz w:val="28"/>
        </w:rPr>
        <w:t>Converting Current Faculty – proposal for transitions to new teaching faculty appointments</w:t>
      </w:r>
    </w:p>
    <w:p w14:paraId="46687661" w14:textId="77777777" w:rsidR="005D3DF7" w:rsidRPr="00E35770" w:rsidRDefault="005D3DF7" w:rsidP="00B55FC2">
      <w:pPr>
        <w:numPr>
          <w:ilvl w:val="1"/>
          <w:numId w:val="28"/>
        </w:numPr>
        <w:spacing w:before="240" w:after="120"/>
        <w:ind w:hanging="360"/>
        <w:rPr>
          <w:rFonts w:asciiTheme="majorHAnsi" w:hAnsiTheme="majorHAnsi"/>
          <w:sz w:val="24"/>
        </w:rPr>
      </w:pPr>
      <w:r w:rsidRPr="00E35770">
        <w:rPr>
          <w:rFonts w:asciiTheme="majorHAnsi" w:hAnsiTheme="majorHAnsi"/>
          <w:b/>
          <w:smallCaps/>
          <w:sz w:val="24"/>
        </w:rPr>
        <w:t>Senior Teaching Appointment Faculty</w:t>
      </w:r>
    </w:p>
    <w:p w14:paraId="309230F8" w14:textId="5162B879" w:rsidR="005D3DF7" w:rsidRPr="00EE35F4" w:rsidRDefault="005D3DF7" w:rsidP="002D5675">
      <w:pPr>
        <w:spacing w:before="240" w:after="120"/>
        <w:ind w:left="1440" w:firstLine="0"/>
        <w:rPr>
          <w:rFonts w:asciiTheme="majorHAnsi" w:hAnsiTheme="majorHAnsi"/>
        </w:rPr>
      </w:pPr>
      <w:r w:rsidRPr="00EE35F4">
        <w:rPr>
          <w:rFonts w:asciiTheme="majorHAnsi" w:hAnsiTheme="majorHAnsi"/>
        </w:rPr>
        <w:t xml:space="preserve">Senior Teaching Appointment Faculty (STAs) with a Master’s or Doctoral degree, who have been employed by the University with a 50% to full-time FTE for three consecutive years (six consecutive semesters) and who have a workload distribution of 50% or more of teaching will be automatically converted to </w:t>
      </w:r>
      <w:r w:rsidRPr="00EE35F4">
        <w:rPr>
          <w:rFonts w:asciiTheme="majorHAnsi" w:hAnsiTheme="majorHAnsi"/>
          <w:b/>
        </w:rPr>
        <w:t>Senior Teaching Faculty</w:t>
      </w:r>
      <w:r w:rsidRPr="00EE35F4">
        <w:rPr>
          <w:rFonts w:asciiTheme="majorHAnsi" w:hAnsiTheme="majorHAnsi"/>
        </w:rPr>
        <w:t>. These faculty will be automatically granted rolling and renewable multi-year contracts. When possible, these faculty positions shall transition to full-time FTE.</w:t>
      </w:r>
      <w:r w:rsidR="002D5675" w:rsidRPr="00EE35F4">
        <w:rPr>
          <w:rFonts w:asciiTheme="majorHAnsi" w:hAnsiTheme="majorHAnsi"/>
        </w:rPr>
        <w:t xml:space="preserve"> There may be cases where </w:t>
      </w:r>
      <w:r w:rsidR="002D5675" w:rsidRPr="00EE35F4">
        <w:rPr>
          <w:rFonts w:asciiTheme="majorHAnsi" w:hAnsiTheme="majorHAnsi"/>
        </w:rPr>
        <w:lastRenderedPageBreak/>
        <w:t>current faculty’s effort distributions will not match this new appointment type precisely and therefore all current faculty consider “senior teaching” appointments will be grandfathered into to the new career track appointment without changing the effort distribution. However, all new hires after the adoption of the Career-track faculty appointment, shall have effort distributions that fit the new requirements.</w:t>
      </w:r>
    </w:p>
    <w:p w14:paraId="736D69BD" w14:textId="77777777" w:rsidR="005D3DF7" w:rsidRPr="00E35770" w:rsidRDefault="005D3DF7" w:rsidP="00B55FC2">
      <w:pPr>
        <w:numPr>
          <w:ilvl w:val="1"/>
          <w:numId w:val="28"/>
        </w:numPr>
        <w:spacing w:before="240" w:after="120"/>
        <w:ind w:hanging="360"/>
        <w:rPr>
          <w:rFonts w:asciiTheme="majorHAnsi" w:hAnsiTheme="majorHAnsi"/>
          <w:sz w:val="24"/>
        </w:rPr>
      </w:pPr>
      <w:r w:rsidRPr="00E35770">
        <w:rPr>
          <w:rFonts w:asciiTheme="majorHAnsi" w:hAnsiTheme="majorHAnsi"/>
          <w:b/>
          <w:smallCaps/>
          <w:sz w:val="24"/>
        </w:rPr>
        <w:t>Special and Temporary Appointment Faculty with 50% to full-time FTE for 3+ consecutive YEARS (6 consecutive semesters and more):</w:t>
      </w:r>
      <w:r w:rsidRPr="00E35770">
        <w:rPr>
          <w:rFonts w:asciiTheme="majorHAnsi" w:hAnsiTheme="majorHAnsi"/>
          <w:sz w:val="24"/>
        </w:rPr>
        <w:t xml:space="preserve"> </w:t>
      </w:r>
    </w:p>
    <w:p w14:paraId="477E7B16" w14:textId="77777777" w:rsidR="005D3DF7" w:rsidRPr="00EE35F4" w:rsidRDefault="005D3DF7" w:rsidP="005D3DF7">
      <w:pPr>
        <w:spacing w:before="240" w:after="120"/>
        <w:ind w:left="1440" w:firstLine="0"/>
        <w:rPr>
          <w:rFonts w:asciiTheme="majorHAnsi" w:hAnsiTheme="majorHAnsi"/>
        </w:rPr>
      </w:pPr>
      <w:r w:rsidRPr="00EE35F4">
        <w:rPr>
          <w:rFonts w:asciiTheme="majorHAnsi" w:hAnsiTheme="majorHAnsi"/>
        </w:rPr>
        <w:t xml:space="preserve">Special and Temporary Faculty with a Master’s or Doctoral degree, who have been employed by the University with a 50% to full-time FTE for 3+ consecutive years (at least 6 consecutive semesters) and who have a workload distribution of 50% or more of teaching will be automatically converted to </w:t>
      </w:r>
      <w:r w:rsidRPr="00EE35F4">
        <w:rPr>
          <w:rFonts w:asciiTheme="majorHAnsi" w:hAnsiTheme="majorHAnsi"/>
          <w:b/>
        </w:rPr>
        <w:t xml:space="preserve">Junior Teaching Faculty </w:t>
      </w:r>
      <w:r w:rsidRPr="00EE35F4">
        <w:rPr>
          <w:rFonts w:asciiTheme="majorHAnsi" w:hAnsiTheme="majorHAnsi"/>
        </w:rPr>
        <w:t xml:space="preserve">and will be evaluated for promotion to </w:t>
      </w:r>
      <w:r w:rsidRPr="00EE35F4">
        <w:rPr>
          <w:rFonts w:asciiTheme="majorHAnsi" w:hAnsiTheme="majorHAnsi"/>
          <w:b/>
        </w:rPr>
        <w:t>Senior Teaching Faculty</w:t>
      </w:r>
      <w:r w:rsidRPr="00EE35F4">
        <w:rPr>
          <w:rFonts w:asciiTheme="majorHAnsi" w:hAnsiTheme="majorHAnsi"/>
        </w:rPr>
        <w:t xml:space="preserve"> appointments within one academic year after conversion. When possible, these faculty positions shall be full-time FTE. These faculty will receive an appropriate open-ended offer letter upon conversion. </w:t>
      </w:r>
    </w:p>
    <w:p w14:paraId="5A44C58B" w14:textId="77777777" w:rsidR="005D3DF7" w:rsidRPr="00E35770" w:rsidRDefault="005D3DF7" w:rsidP="00B55FC2">
      <w:pPr>
        <w:numPr>
          <w:ilvl w:val="1"/>
          <w:numId w:val="28"/>
        </w:numPr>
        <w:spacing w:before="240" w:after="120"/>
        <w:ind w:hanging="360"/>
        <w:rPr>
          <w:rFonts w:asciiTheme="majorHAnsi" w:hAnsiTheme="majorHAnsi"/>
          <w:b/>
          <w:smallCaps/>
          <w:sz w:val="24"/>
        </w:rPr>
      </w:pPr>
      <w:r w:rsidRPr="00E35770">
        <w:rPr>
          <w:rFonts w:asciiTheme="majorHAnsi" w:hAnsiTheme="majorHAnsi"/>
          <w:b/>
          <w:smallCaps/>
          <w:sz w:val="24"/>
        </w:rPr>
        <w:t>Special and Temporary Appointment Faculty with 50% to full-time FTE for 2-5 consecutive semesters:</w:t>
      </w:r>
    </w:p>
    <w:p w14:paraId="1B5B5B70" w14:textId="1D9974D4" w:rsidR="005D3DF7" w:rsidRPr="00EE35F4" w:rsidRDefault="005D3DF7" w:rsidP="005D3DF7">
      <w:pPr>
        <w:spacing w:before="240" w:after="120"/>
        <w:ind w:left="1440" w:firstLine="0"/>
        <w:rPr>
          <w:rFonts w:asciiTheme="majorHAnsi" w:hAnsiTheme="majorHAnsi"/>
        </w:rPr>
      </w:pPr>
      <w:r w:rsidRPr="00EE35F4">
        <w:rPr>
          <w:rFonts w:asciiTheme="majorHAnsi" w:hAnsiTheme="majorHAnsi"/>
        </w:rPr>
        <w:t xml:space="preserve">Special and Temporary Faculty with a Master’s or Doctoral degree, who have been employed by the University with a 50% to full-time FTE for 2-5 consecutive semesters and who have a workload distribution of 50% or more of teaching will be automatically converted to </w:t>
      </w:r>
      <w:r w:rsidRPr="00EE35F4">
        <w:rPr>
          <w:rFonts w:asciiTheme="majorHAnsi" w:hAnsiTheme="majorHAnsi"/>
          <w:b/>
        </w:rPr>
        <w:t>Junior Teaching Faculty.</w:t>
      </w:r>
      <w:r w:rsidR="007C5120" w:rsidRPr="00EE35F4">
        <w:rPr>
          <w:rFonts w:asciiTheme="majorHAnsi" w:hAnsiTheme="majorHAnsi"/>
          <w:b/>
        </w:rPr>
        <w:t xml:space="preserve"> </w:t>
      </w:r>
      <w:r w:rsidRPr="00EE35F4">
        <w:rPr>
          <w:rFonts w:asciiTheme="majorHAnsi" w:hAnsiTheme="majorHAnsi"/>
        </w:rPr>
        <w:t xml:space="preserve">These faculty will be evaluated for promotion to </w:t>
      </w:r>
      <w:r w:rsidRPr="00EE35F4">
        <w:rPr>
          <w:rFonts w:asciiTheme="majorHAnsi" w:hAnsiTheme="majorHAnsi"/>
          <w:b/>
        </w:rPr>
        <w:t xml:space="preserve">Senior Teaching Faculty </w:t>
      </w:r>
      <w:r w:rsidRPr="00EE35F4">
        <w:rPr>
          <w:rFonts w:asciiTheme="majorHAnsi" w:hAnsiTheme="majorHAnsi"/>
        </w:rPr>
        <w:t>upon completing their third year (6</w:t>
      </w:r>
      <w:r w:rsidRPr="00EE35F4">
        <w:rPr>
          <w:rFonts w:asciiTheme="majorHAnsi" w:hAnsiTheme="majorHAnsi"/>
          <w:vertAlign w:val="superscript"/>
        </w:rPr>
        <w:t>th</w:t>
      </w:r>
      <w:r w:rsidRPr="00EE35F4">
        <w:rPr>
          <w:rFonts w:asciiTheme="majorHAnsi" w:hAnsiTheme="majorHAnsi"/>
        </w:rPr>
        <w:t xml:space="preserve"> consecutive semester) of employment at CSU. When possible, these faculty positions shall be full-time FTE. These faculty will receive an appropriate open-ended offer letter upon conversion. </w:t>
      </w:r>
    </w:p>
    <w:p w14:paraId="1ACF876B" w14:textId="77777777" w:rsidR="005D3DF7" w:rsidRPr="00E35770" w:rsidRDefault="005D3DF7" w:rsidP="00B55FC2">
      <w:pPr>
        <w:numPr>
          <w:ilvl w:val="1"/>
          <w:numId w:val="28"/>
        </w:numPr>
        <w:spacing w:before="240" w:after="120"/>
        <w:ind w:hanging="360"/>
        <w:rPr>
          <w:rFonts w:asciiTheme="majorHAnsi" w:hAnsiTheme="majorHAnsi"/>
          <w:b/>
          <w:smallCaps/>
          <w:sz w:val="24"/>
        </w:rPr>
      </w:pPr>
      <w:r w:rsidRPr="00E35770">
        <w:rPr>
          <w:rFonts w:asciiTheme="majorHAnsi" w:hAnsiTheme="majorHAnsi"/>
          <w:b/>
          <w:smallCaps/>
          <w:sz w:val="24"/>
        </w:rPr>
        <w:t>Special and Temporary Appointment Faculty with 50% to full-time FTE for less than 2 consecutive semesters:</w:t>
      </w:r>
    </w:p>
    <w:p w14:paraId="268AE266" w14:textId="77777777" w:rsidR="005D3DF7" w:rsidRPr="00EE35F4" w:rsidRDefault="005D3DF7" w:rsidP="00B55FC2">
      <w:pPr>
        <w:numPr>
          <w:ilvl w:val="2"/>
          <w:numId w:val="28"/>
        </w:numPr>
        <w:spacing w:before="240" w:after="120"/>
        <w:ind w:hanging="180"/>
        <w:rPr>
          <w:rFonts w:asciiTheme="majorHAnsi" w:hAnsiTheme="majorHAnsi"/>
        </w:rPr>
      </w:pPr>
      <w:r w:rsidRPr="00EE35F4">
        <w:rPr>
          <w:rFonts w:asciiTheme="majorHAnsi" w:hAnsiTheme="majorHAnsi"/>
        </w:rPr>
        <w:t xml:space="preserve">Special &amp; Temporary appointment faculty with a Master’s or Doctoral degree, who have been employed by the University with a 50% to full-time FTE for less than 2 consecutive semesters are eligible to convert to </w:t>
      </w:r>
      <w:r w:rsidRPr="00EE35F4">
        <w:rPr>
          <w:rFonts w:asciiTheme="majorHAnsi" w:hAnsiTheme="majorHAnsi"/>
          <w:b/>
        </w:rPr>
        <w:t>Junior Teaching Faculty</w:t>
      </w:r>
      <w:r w:rsidRPr="00EE35F4">
        <w:rPr>
          <w:rFonts w:asciiTheme="majorHAnsi" w:hAnsiTheme="majorHAnsi"/>
        </w:rPr>
        <w:t xml:space="preserve">. These faculty will be evaluated for promotion to </w:t>
      </w:r>
      <w:r w:rsidRPr="00EE35F4">
        <w:rPr>
          <w:rFonts w:asciiTheme="majorHAnsi" w:hAnsiTheme="majorHAnsi"/>
          <w:b/>
        </w:rPr>
        <w:t xml:space="preserve">Senior Teaching Faculty </w:t>
      </w:r>
      <w:r w:rsidRPr="00EE35F4">
        <w:rPr>
          <w:rFonts w:asciiTheme="majorHAnsi" w:hAnsiTheme="majorHAnsi"/>
        </w:rPr>
        <w:t>upon completing their third year (6</w:t>
      </w:r>
      <w:r w:rsidRPr="00EE35F4">
        <w:rPr>
          <w:rFonts w:asciiTheme="majorHAnsi" w:hAnsiTheme="majorHAnsi"/>
          <w:vertAlign w:val="superscript"/>
        </w:rPr>
        <w:t>th</w:t>
      </w:r>
      <w:r w:rsidRPr="00EE35F4">
        <w:rPr>
          <w:rFonts w:asciiTheme="majorHAnsi" w:hAnsiTheme="majorHAnsi"/>
        </w:rPr>
        <w:t xml:space="preserve"> consecutive semester) of employment at CSU. When possible, these faculty positions shall be full-time FTE. These faculty will receive an appropriate open-ended offer letter upon conversion. </w:t>
      </w:r>
    </w:p>
    <w:p w14:paraId="391C2451" w14:textId="77777777" w:rsidR="005D3DF7" w:rsidRPr="00EE35F4" w:rsidRDefault="005D3DF7" w:rsidP="00B55FC2">
      <w:pPr>
        <w:numPr>
          <w:ilvl w:val="2"/>
          <w:numId w:val="28"/>
        </w:numPr>
        <w:spacing w:before="240" w:after="120"/>
        <w:ind w:hanging="180"/>
        <w:rPr>
          <w:rFonts w:asciiTheme="majorHAnsi" w:hAnsiTheme="majorHAnsi"/>
        </w:rPr>
      </w:pPr>
      <w:r w:rsidRPr="00EE35F4">
        <w:rPr>
          <w:rFonts w:asciiTheme="majorHAnsi" w:hAnsiTheme="majorHAnsi"/>
        </w:rPr>
        <w:t xml:space="preserve">Special &amp; Temporary appointment faculty with a degree that their department determines to be sufficient, who have been employed by the University with a 50% to full-time FTE for less than 2 consecutive semesters are eligible to convert to </w:t>
      </w:r>
      <w:r w:rsidRPr="00EE35F4">
        <w:rPr>
          <w:rFonts w:asciiTheme="majorHAnsi" w:hAnsiTheme="majorHAnsi"/>
          <w:b/>
        </w:rPr>
        <w:t>Adjunct Faculty</w:t>
      </w:r>
      <w:r w:rsidRPr="00EE35F4">
        <w:rPr>
          <w:rFonts w:asciiTheme="majorHAnsi" w:hAnsiTheme="majorHAnsi"/>
        </w:rPr>
        <w:t>. These faculty may not teach more than 1-3 courses each semester, but their offer letters may be open-ended. These faculty will receive an appropriate offer letter upon conversion.</w:t>
      </w:r>
    </w:p>
    <w:p w14:paraId="07AA1949" w14:textId="77777777" w:rsidR="005D3DF7" w:rsidRPr="00EE35F4" w:rsidRDefault="005D3DF7" w:rsidP="00B55FC2">
      <w:pPr>
        <w:numPr>
          <w:ilvl w:val="2"/>
          <w:numId w:val="28"/>
        </w:numPr>
        <w:spacing w:before="240" w:after="120"/>
        <w:ind w:hanging="180"/>
        <w:rPr>
          <w:rFonts w:asciiTheme="majorHAnsi" w:hAnsiTheme="majorHAnsi"/>
        </w:rPr>
      </w:pPr>
      <w:r w:rsidRPr="00EE35F4">
        <w:rPr>
          <w:rFonts w:asciiTheme="majorHAnsi" w:hAnsiTheme="majorHAnsi"/>
        </w:rPr>
        <w:t xml:space="preserve">Special &amp; Temporary appointment faculty with a degree that their department determines to be sufficient, who have been employed by the University with a 50% to full-time FTE for less than 2 consecutive </w:t>
      </w:r>
      <w:r w:rsidRPr="00EE35F4">
        <w:rPr>
          <w:rFonts w:asciiTheme="majorHAnsi" w:hAnsiTheme="majorHAnsi"/>
        </w:rPr>
        <w:lastRenderedPageBreak/>
        <w:t xml:space="preserve">semesters are eligible to convert to </w:t>
      </w:r>
      <w:r w:rsidRPr="00EE35F4">
        <w:rPr>
          <w:rFonts w:asciiTheme="majorHAnsi" w:hAnsiTheme="majorHAnsi"/>
          <w:b/>
        </w:rPr>
        <w:t>Temporary Faculty</w:t>
      </w:r>
      <w:r w:rsidRPr="00EE35F4">
        <w:rPr>
          <w:rFonts w:asciiTheme="majorHAnsi" w:hAnsiTheme="majorHAnsi"/>
        </w:rPr>
        <w:t>. These faculty will receive appropriate offer letters upon conversion specifying an end date for their appointments, which may not exceed one academic year or two consecutive semesters beyond their current offer letter end dates.</w:t>
      </w:r>
    </w:p>
    <w:p w14:paraId="2398C18A" w14:textId="77777777" w:rsidR="005D3DF7" w:rsidRPr="00E35770" w:rsidRDefault="005D3DF7" w:rsidP="00B55FC2">
      <w:pPr>
        <w:numPr>
          <w:ilvl w:val="1"/>
          <w:numId w:val="28"/>
        </w:numPr>
        <w:spacing w:before="240" w:after="120"/>
        <w:ind w:hanging="360"/>
        <w:rPr>
          <w:rFonts w:asciiTheme="majorHAnsi" w:hAnsiTheme="majorHAnsi"/>
          <w:b/>
          <w:smallCaps/>
          <w:sz w:val="24"/>
        </w:rPr>
      </w:pPr>
      <w:r w:rsidRPr="00E35770">
        <w:rPr>
          <w:rFonts w:asciiTheme="majorHAnsi" w:hAnsiTheme="majorHAnsi"/>
          <w:b/>
          <w:smallCaps/>
          <w:sz w:val="24"/>
        </w:rPr>
        <w:t xml:space="preserve">Special and Temporary Appointment Faculty with 0 to 49% FTE </w:t>
      </w:r>
      <w:r w:rsidRPr="00E35770">
        <w:rPr>
          <w:rFonts w:asciiTheme="majorHAnsi" w:hAnsiTheme="majorHAnsi"/>
          <w:b/>
          <w:i/>
          <w:smallCaps/>
          <w:sz w:val="24"/>
        </w:rPr>
        <w:t xml:space="preserve"> </w:t>
      </w:r>
    </w:p>
    <w:p w14:paraId="36459191" w14:textId="77777777" w:rsidR="005D3DF7" w:rsidRPr="00EE35F4" w:rsidRDefault="005D3DF7" w:rsidP="00B55FC2">
      <w:pPr>
        <w:numPr>
          <w:ilvl w:val="2"/>
          <w:numId w:val="28"/>
        </w:numPr>
        <w:spacing w:before="240" w:after="120"/>
        <w:ind w:hanging="180"/>
        <w:rPr>
          <w:rFonts w:asciiTheme="majorHAnsi" w:hAnsiTheme="majorHAnsi"/>
        </w:rPr>
      </w:pPr>
      <w:r w:rsidRPr="00EE35F4">
        <w:rPr>
          <w:rFonts w:asciiTheme="majorHAnsi" w:hAnsiTheme="majorHAnsi"/>
        </w:rPr>
        <w:t xml:space="preserve">Special and Temporary appointment faculty with a degree that their department determines to be sufficient, who have been employed by the university at 49% or less FTE are eligible to convert to </w:t>
      </w:r>
      <w:r w:rsidRPr="00EE35F4">
        <w:rPr>
          <w:rFonts w:asciiTheme="majorHAnsi" w:hAnsiTheme="majorHAnsi"/>
          <w:b/>
        </w:rPr>
        <w:t xml:space="preserve">Adjunct Faculty. </w:t>
      </w:r>
      <w:r w:rsidRPr="00EE35F4">
        <w:rPr>
          <w:rFonts w:asciiTheme="majorHAnsi" w:hAnsiTheme="majorHAnsi"/>
        </w:rPr>
        <w:t xml:space="preserve">These faculty may not teach more than 1-3 courses each semester, but their offer letters may be open-ended. These faculty will receive an appropriate offer letter upon conversion. </w:t>
      </w:r>
    </w:p>
    <w:p w14:paraId="25EE37A0" w14:textId="77777777" w:rsidR="005D3DF7" w:rsidRPr="00EE35F4" w:rsidRDefault="005D3DF7" w:rsidP="00B55FC2">
      <w:pPr>
        <w:numPr>
          <w:ilvl w:val="2"/>
          <w:numId w:val="28"/>
        </w:numPr>
        <w:spacing w:before="240" w:after="120"/>
        <w:ind w:hanging="180"/>
        <w:rPr>
          <w:rFonts w:asciiTheme="majorHAnsi" w:hAnsiTheme="majorHAnsi"/>
        </w:rPr>
      </w:pPr>
      <w:r w:rsidRPr="00EE35F4">
        <w:rPr>
          <w:rFonts w:asciiTheme="majorHAnsi" w:hAnsiTheme="majorHAnsi"/>
        </w:rPr>
        <w:t xml:space="preserve">Special and Temporary appointment faculty with a degree that their department determines to be sufficient, who have been employed by the university at 49% or less FTE are eligible to convert to </w:t>
      </w:r>
      <w:r w:rsidRPr="00EE35F4">
        <w:rPr>
          <w:rFonts w:asciiTheme="majorHAnsi" w:hAnsiTheme="majorHAnsi"/>
          <w:b/>
        </w:rPr>
        <w:t>Temporary Faculty</w:t>
      </w:r>
      <w:r w:rsidRPr="00EE35F4">
        <w:rPr>
          <w:rFonts w:asciiTheme="majorHAnsi" w:hAnsiTheme="majorHAnsi"/>
        </w:rPr>
        <w:t>. These faculty will receive offer letters upon conversion specifying an end date for their appointments, which may not exceed one academic year or two consecutive semesters beyond their current offer letter end dates.</w:t>
      </w:r>
    </w:p>
    <w:p w14:paraId="3ED8C7B2" w14:textId="3A832CA7" w:rsidR="005D3DF7" w:rsidRPr="00E35770" w:rsidRDefault="005D3DF7" w:rsidP="00E35770">
      <w:pPr>
        <w:pStyle w:val="Heading5"/>
        <w:spacing w:before="360" w:after="120"/>
        <w:rPr>
          <w:rFonts w:asciiTheme="majorHAnsi" w:hAnsiTheme="majorHAnsi"/>
          <w:color w:val="003300"/>
          <w:sz w:val="28"/>
        </w:rPr>
      </w:pPr>
      <w:r w:rsidRPr="00E35770">
        <w:rPr>
          <w:rFonts w:asciiTheme="majorHAnsi" w:hAnsiTheme="majorHAnsi"/>
          <w:color w:val="003300"/>
          <w:sz w:val="28"/>
        </w:rPr>
        <w:t xml:space="preserve">Evaluating All </w:t>
      </w:r>
      <w:r w:rsidR="00312F0E" w:rsidRPr="00E35770">
        <w:rPr>
          <w:rFonts w:asciiTheme="majorHAnsi" w:hAnsiTheme="majorHAnsi"/>
          <w:color w:val="003300"/>
          <w:sz w:val="28"/>
        </w:rPr>
        <w:t>Non-</w:t>
      </w:r>
      <w:r w:rsidRPr="00E35770">
        <w:rPr>
          <w:rFonts w:asciiTheme="majorHAnsi" w:hAnsiTheme="majorHAnsi"/>
          <w:color w:val="003300"/>
          <w:sz w:val="28"/>
        </w:rPr>
        <w:t>Tenure-Track</w:t>
      </w:r>
      <w:r w:rsidR="007C5120" w:rsidRPr="00E35770">
        <w:rPr>
          <w:rFonts w:asciiTheme="majorHAnsi" w:hAnsiTheme="majorHAnsi"/>
          <w:color w:val="003300"/>
          <w:sz w:val="28"/>
        </w:rPr>
        <w:t xml:space="preserve"> </w:t>
      </w:r>
      <w:r w:rsidRPr="00E35770">
        <w:rPr>
          <w:rFonts w:asciiTheme="majorHAnsi" w:hAnsiTheme="majorHAnsi"/>
          <w:color w:val="003300"/>
          <w:sz w:val="28"/>
        </w:rPr>
        <w:t xml:space="preserve">Teaching Faculty </w:t>
      </w:r>
    </w:p>
    <w:p w14:paraId="1D71D7F3" w14:textId="77777777" w:rsidR="005D3DF7" w:rsidRPr="00EE35F4" w:rsidRDefault="005D3DF7" w:rsidP="00E35770">
      <w:pPr>
        <w:spacing w:before="240" w:after="120"/>
        <w:ind w:firstLine="0"/>
        <w:rPr>
          <w:rFonts w:asciiTheme="majorHAnsi" w:hAnsiTheme="majorHAnsi"/>
        </w:rPr>
      </w:pPr>
      <w:r w:rsidRPr="00EE35F4">
        <w:rPr>
          <w:rFonts w:asciiTheme="majorHAnsi" w:hAnsiTheme="majorHAnsi"/>
        </w:rPr>
        <w:t>In order to grant a permanent status for teaching faculty, a department shall comprise a Teaching Faculty Evaluation Committee to review and evaluate these appointment types. A Department’s Tenure and Promotion Committee may not be used for these reviews; however, the established committee shall make a recommendation to the Department Tenure &amp; Promotion Committee.</w:t>
      </w:r>
    </w:p>
    <w:p w14:paraId="3376486A" w14:textId="7C9C3F15" w:rsidR="005D3DF7" w:rsidRPr="00EE35F4" w:rsidRDefault="005D3DF7" w:rsidP="00E35770">
      <w:pPr>
        <w:spacing w:before="240" w:after="120"/>
        <w:ind w:firstLine="0"/>
        <w:rPr>
          <w:rFonts w:asciiTheme="majorHAnsi" w:hAnsiTheme="majorHAnsi"/>
        </w:rPr>
      </w:pPr>
      <w:r w:rsidRPr="00EE35F4">
        <w:rPr>
          <w:rFonts w:asciiTheme="majorHAnsi" w:hAnsiTheme="majorHAnsi"/>
        </w:rPr>
        <w:t>Current teaching-focused tenure-track faculty comprise individuals whose effort distribution is 60% or more teaching, 30% or more service, 0 – 10% research/scholarship. Evaluation, while considering all areas of the effort distribution, focuses on teaching, with proportionately less weight on the other areas. Considering the current Provost’s Documentation for Tenure and Promotion Application</w:t>
      </w:r>
      <w:r w:rsidRPr="00EE35F4">
        <w:rPr>
          <w:rFonts w:asciiTheme="majorHAnsi" w:hAnsiTheme="majorHAnsi"/>
          <w:vertAlign w:val="superscript"/>
        </w:rPr>
        <w:footnoteReference w:id="1"/>
      </w:r>
      <w:r w:rsidRPr="00EE35F4">
        <w:rPr>
          <w:rFonts w:asciiTheme="majorHAnsi" w:hAnsiTheme="majorHAnsi"/>
        </w:rPr>
        <w:t>, its focus on the University Mission, and its clearly articulated acknowledgement of the importance of all faculty appointment types, there is no intention in this proposal to create a parallel reality for teaching-focused tenure; instead our intention is to illustrate the potential for applying current tenure standards to a new trajectory.</w:t>
      </w:r>
    </w:p>
    <w:p w14:paraId="5BC4DAC1" w14:textId="77777777" w:rsidR="005D3DF7" w:rsidRPr="00EE35F4" w:rsidRDefault="005D3DF7" w:rsidP="00E35770">
      <w:pPr>
        <w:spacing w:before="240" w:after="120"/>
        <w:ind w:firstLine="0"/>
        <w:rPr>
          <w:rFonts w:asciiTheme="majorHAnsi" w:hAnsiTheme="majorHAnsi"/>
        </w:rPr>
      </w:pPr>
      <w:r w:rsidRPr="00EE35F4">
        <w:rPr>
          <w:rFonts w:asciiTheme="majorHAnsi" w:hAnsiTheme="majorHAnsi"/>
        </w:rPr>
        <w:t>For teaching faculty, the overall quality of the candidate's record and accompanying documentation, rather than the length of the dossier, determine the final outcome.  Evaluations or reviews at each level must address teaching/advising, research/scholarship/creative activity, and service/outreach as they relate to the candidate's responsibilities. A written recommendation should be based on credible information, comply with University policy, and conform to Departmental Codes.</w:t>
      </w:r>
    </w:p>
    <w:p w14:paraId="2A090C8F" w14:textId="77777777" w:rsidR="005D3DF7" w:rsidRPr="00EE35F4" w:rsidRDefault="005D3DF7" w:rsidP="00E35770">
      <w:pPr>
        <w:spacing w:before="240" w:after="120"/>
        <w:ind w:firstLine="0"/>
        <w:rPr>
          <w:rFonts w:asciiTheme="majorHAnsi" w:hAnsiTheme="majorHAnsi"/>
        </w:rPr>
      </w:pPr>
      <w:r w:rsidRPr="00EE35F4">
        <w:rPr>
          <w:rFonts w:asciiTheme="majorHAnsi" w:hAnsiTheme="majorHAnsi"/>
        </w:rPr>
        <w:t xml:space="preserve">Teaching Faculty will be expected to strive for teaching excellence, demonstrate efforts to provide quality instruction to students, and if part of their responsibilities, provide satisfactory advising to students.  Evaluations that help faculty set and meet goals, review their performance in light of specific and clear objectives, and either develop plans for improving </w:t>
      </w:r>
      <w:r w:rsidRPr="00EE35F4">
        <w:rPr>
          <w:rFonts w:asciiTheme="majorHAnsi" w:hAnsiTheme="majorHAnsi"/>
        </w:rPr>
        <w:lastRenderedPageBreak/>
        <w:t>specific areas and/or earn rewards for achievements are essential to ensuring excellence from these faculty.</w:t>
      </w:r>
    </w:p>
    <w:p w14:paraId="383399C0" w14:textId="77777777" w:rsidR="005D3DF7" w:rsidRPr="00EE35F4" w:rsidRDefault="005D3DF7" w:rsidP="00E35770">
      <w:pPr>
        <w:spacing w:before="240" w:after="120"/>
        <w:ind w:firstLine="0"/>
        <w:rPr>
          <w:rFonts w:asciiTheme="majorHAnsi" w:hAnsiTheme="majorHAnsi"/>
        </w:rPr>
      </w:pPr>
      <w:r w:rsidRPr="00EE35F4">
        <w:rPr>
          <w:rFonts w:asciiTheme="majorHAnsi" w:hAnsiTheme="majorHAnsi"/>
        </w:rPr>
        <w:t xml:space="preserve">Teaching Faculty, therefore, will be evaluated on teaching as part of the promotion and retention process. As noted in the </w:t>
      </w:r>
      <w:r w:rsidRPr="00EE35F4">
        <w:rPr>
          <w:rFonts w:asciiTheme="majorHAnsi" w:hAnsiTheme="majorHAnsi"/>
          <w:i/>
        </w:rPr>
        <w:t>Manual</w:t>
      </w:r>
      <w:r w:rsidRPr="00EE35F4">
        <w:rPr>
          <w:rFonts w:asciiTheme="majorHAnsi" w:hAnsiTheme="majorHAnsi"/>
        </w:rPr>
        <w:t xml:space="preserve"> (Section E.12.1): </w:t>
      </w:r>
      <w:r w:rsidRPr="00EE35F4">
        <w:rPr>
          <w:rFonts w:asciiTheme="majorHAnsi" w:hAnsiTheme="majorHAnsi"/>
          <w:i/>
        </w:rPr>
        <w:t>The faculty in each academic unit will develop specific criteria and standards for evaluation and methods for evaluating teaching and advising effectiveness and will evaluate teaching and advising as part of annual and periodic comprehensive reviews. These criteria, standards, and methods will be incorporated into departmental codes.</w:t>
      </w:r>
    </w:p>
    <w:p w14:paraId="2E9E1F63" w14:textId="77777777" w:rsidR="005D3DF7" w:rsidRPr="00EE35F4" w:rsidRDefault="005D3DF7" w:rsidP="00E35770">
      <w:pPr>
        <w:spacing w:before="240" w:after="120"/>
        <w:ind w:firstLine="0"/>
        <w:rPr>
          <w:rFonts w:asciiTheme="majorHAnsi" w:hAnsiTheme="majorHAnsi"/>
        </w:rPr>
      </w:pPr>
      <w:r w:rsidRPr="00EE35F4">
        <w:rPr>
          <w:rFonts w:asciiTheme="majorHAnsi" w:hAnsiTheme="majorHAnsi"/>
        </w:rPr>
        <w:t xml:space="preserve">In evaluating teaching performance and creating a plan for each faculty member, the following characteristics of teaching excellence should be reviewed: </w:t>
      </w:r>
    </w:p>
    <w:p w14:paraId="0326DB21" w14:textId="77777777" w:rsidR="005D3DF7" w:rsidRPr="00EE35F4" w:rsidRDefault="005D3DF7" w:rsidP="00E35770">
      <w:pPr>
        <w:pStyle w:val="ListParagraph"/>
        <w:numPr>
          <w:ilvl w:val="0"/>
          <w:numId w:val="53"/>
        </w:numPr>
        <w:tabs>
          <w:tab w:val="left" w:pos="540"/>
        </w:tabs>
        <w:spacing w:before="120" w:after="120"/>
        <w:contextualSpacing w:val="0"/>
        <w:rPr>
          <w:rFonts w:asciiTheme="majorHAnsi" w:hAnsiTheme="majorHAnsi"/>
        </w:rPr>
      </w:pPr>
      <w:r w:rsidRPr="00EE35F4">
        <w:rPr>
          <w:rFonts w:asciiTheme="majorHAnsi" w:hAnsiTheme="majorHAnsi"/>
          <w:i/>
        </w:rPr>
        <w:t>Academic rigor</w:t>
      </w:r>
      <w:r w:rsidRPr="00EE35F4">
        <w:rPr>
          <w:rFonts w:asciiTheme="majorHAnsi" w:hAnsiTheme="majorHAnsi"/>
        </w:rPr>
        <w:t>: students are challenged intellectually at a level appropriate to their abilities.</w:t>
      </w:r>
    </w:p>
    <w:p w14:paraId="04B14361" w14:textId="77777777" w:rsidR="005D3DF7" w:rsidRPr="00EE35F4" w:rsidRDefault="005D3DF7" w:rsidP="00E35770">
      <w:pPr>
        <w:pStyle w:val="ListParagraph"/>
        <w:numPr>
          <w:ilvl w:val="0"/>
          <w:numId w:val="53"/>
        </w:numPr>
        <w:tabs>
          <w:tab w:val="left" w:pos="540"/>
        </w:tabs>
        <w:spacing w:before="120" w:after="120"/>
        <w:contextualSpacing w:val="0"/>
        <w:rPr>
          <w:rFonts w:asciiTheme="majorHAnsi" w:hAnsiTheme="majorHAnsi"/>
        </w:rPr>
      </w:pPr>
      <w:r w:rsidRPr="00EE35F4">
        <w:rPr>
          <w:rFonts w:asciiTheme="majorHAnsi" w:hAnsiTheme="majorHAnsi"/>
          <w:i/>
        </w:rPr>
        <w:t>Student appreciation of the subject</w:t>
      </w:r>
      <w:r w:rsidRPr="00EE35F4">
        <w:rPr>
          <w:rFonts w:asciiTheme="majorHAnsi" w:hAnsiTheme="majorHAnsi"/>
        </w:rPr>
        <w:t>: students value course content and its applicability to understanding the world.</w:t>
      </w:r>
    </w:p>
    <w:p w14:paraId="1F72912C" w14:textId="77777777" w:rsidR="005D3DF7" w:rsidRPr="00EE35F4" w:rsidRDefault="005D3DF7" w:rsidP="00E35770">
      <w:pPr>
        <w:pStyle w:val="ListParagraph"/>
        <w:numPr>
          <w:ilvl w:val="0"/>
          <w:numId w:val="53"/>
        </w:numPr>
        <w:tabs>
          <w:tab w:val="left" w:pos="540"/>
        </w:tabs>
        <w:spacing w:before="120" w:after="120"/>
        <w:contextualSpacing w:val="0"/>
        <w:rPr>
          <w:rFonts w:asciiTheme="majorHAnsi" w:hAnsiTheme="majorHAnsi"/>
        </w:rPr>
      </w:pPr>
      <w:r w:rsidRPr="00EE35F4">
        <w:rPr>
          <w:rFonts w:asciiTheme="majorHAnsi" w:hAnsiTheme="majorHAnsi"/>
          <w:i/>
        </w:rPr>
        <w:t>Student assessment</w:t>
      </w:r>
      <w:r w:rsidRPr="00EE35F4">
        <w:rPr>
          <w:rFonts w:asciiTheme="majorHAnsi" w:hAnsiTheme="majorHAnsi"/>
        </w:rPr>
        <w:t>: students are provided constructive and timely feedback.</w:t>
      </w:r>
    </w:p>
    <w:p w14:paraId="0938008C" w14:textId="77777777" w:rsidR="005D3DF7" w:rsidRPr="00EE35F4" w:rsidRDefault="005D3DF7" w:rsidP="00E35770">
      <w:pPr>
        <w:pStyle w:val="ListParagraph"/>
        <w:numPr>
          <w:ilvl w:val="0"/>
          <w:numId w:val="53"/>
        </w:numPr>
        <w:tabs>
          <w:tab w:val="left" w:pos="540"/>
        </w:tabs>
        <w:spacing w:before="120" w:after="120"/>
        <w:contextualSpacing w:val="0"/>
        <w:rPr>
          <w:rFonts w:asciiTheme="majorHAnsi" w:hAnsiTheme="majorHAnsi"/>
        </w:rPr>
      </w:pPr>
      <w:r w:rsidRPr="00EE35F4">
        <w:rPr>
          <w:rFonts w:asciiTheme="majorHAnsi" w:hAnsiTheme="majorHAnsi"/>
          <w:i/>
        </w:rPr>
        <w:t>Pedagogy</w:t>
      </w:r>
      <w:r w:rsidRPr="00EE35F4">
        <w:rPr>
          <w:rFonts w:asciiTheme="majorHAnsi" w:hAnsiTheme="majorHAnsi"/>
        </w:rPr>
        <w:t>: faculty member utilizes innovative and varied instructional strategies.</w:t>
      </w:r>
    </w:p>
    <w:p w14:paraId="4479AE99" w14:textId="77777777" w:rsidR="005D3DF7" w:rsidRPr="00EE35F4" w:rsidRDefault="005D3DF7" w:rsidP="00E35770">
      <w:pPr>
        <w:pStyle w:val="ListParagraph"/>
        <w:numPr>
          <w:ilvl w:val="0"/>
          <w:numId w:val="53"/>
        </w:numPr>
        <w:tabs>
          <w:tab w:val="left" w:pos="540"/>
        </w:tabs>
        <w:spacing w:before="120" w:after="120"/>
        <w:contextualSpacing w:val="0"/>
        <w:rPr>
          <w:rFonts w:asciiTheme="majorHAnsi" w:hAnsiTheme="majorHAnsi"/>
        </w:rPr>
      </w:pPr>
      <w:r w:rsidRPr="00EE35F4">
        <w:rPr>
          <w:rFonts w:asciiTheme="majorHAnsi" w:hAnsiTheme="majorHAnsi"/>
          <w:i/>
        </w:rPr>
        <w:t>Engagement</w:t>
      </w:r>
      <w:r w:rsidRPr="00EE35F4">
        <w:rPr>
          <w:rFonts w:asciiTheme="majorHAnsi" w:hAnsiTheme="majorHAnsi"/>
        </w:rPr>
        <w:t>: students are prepared and active in class activities.</w:t>
      </w:r>
    </w:p>
    <w:p w14:paraId="0B2BFA77" w14:textId="77777777" w:rsidR="005D3DF7" w:rsidRPr="00EE35F4" w:rsidRDefault="005D3DF7" w:rsidP="00E35770">
      <w:pPr>
        <w:pStyle w:val="ListParagraph"/>
        <w:numPr>
          <w:ilvl w:val="0"/>
          <w:numId w:val="53"/>
        </w:numPr>
        <w:tabs>
          <w:tab w:val="left" w:pos="540"/>
        </w:tabs>
        <w:spacing w:before="120" w:after="120"/>
        <w:contextualSpacing w:val="0"/>
        <w:rPr>
          <w:rFonts w:asciiTheme="majorHAnsi" w:hAnsiTheme="majorHAnsi"/>
        </w:rPr>
      </w:pPr>
      <w:r w:rsidRPr="00EE35F4">
        <w:rPr>
          <w:rFonts w:asciiTheme="majorHAnsi" w:hAnsiTheme="majorHAnsi"/>
          <w:i/>
        </w:rPr>
        <w:t>Community</w:t>
      </w:r>
      <w:r w:rsidRPr="00EE35F4">
        <w:rPr>
          <w:rFonts w:asciiTheme="majorHAnsi" w:hAnsiTheme="majorHAnsi"/>
        </w:rPr>
        <w:t>: faculty member establishes a climate of trust and respect in course activities and discussion.</w:t>
      </w:r>
    </w:p>
    <w:p w14:paraId="31345EFA" w14:textId="77777777" w:rsidR="005D3DF7" w:rsidRPr="00EE35F4" w:rsidRDefault="005D3DF7" w:rsidP="00E35770">
      <w:pPr>
        <w:pStyle w:val="ListParagraph"/>
        <w:numPr>
          <w:ilvl w:val="0"/>
          <w:numId w:val="53"/>
        </w:numPr>
        <w:tabs>
          <w:tab w:val="left" w:pos="540"/>
        </w:tabs>
        <w:spacing w:before="120" w:after="120" w:line="264" w:lineRule="auto"/>
        <w:contextualSpacing w:val="0"/>
        <w:rPr>
          <w:rFonts w:asciiTheme="majorHAnsi" w:hAnsiTheme="majorHAnsi"/>
        </w:rPr>
      </w:pPr>
      <w:bookmarkStart w:id="26" w:name="h.3j2qqm3" w:colFirst="0" w:colLast="0"/>
      <w:bookmarkEnd w:id="26"/>
      <w:r w:rsidRPr="00EE35F4">
        <w:rPr>
          <w:rFonts w:asciiTheme="majorHAnsi" w:hAnsiTheme="majorHAnsi"/>
          <w:i/>
        </w:rPr>
        <w:t>Interaction</w:t>
      </w:r>
      <w:r w:rsidRPr="00EE35F4">
        <w:rPr>
          <w:rFonts w:asciiTheme="majorHAnsi" w:hAnsiTheme="majorHAnsi"/>
        </w:rPr>
        <w:t>: faculty member is available to students outside of class and encourages students to do well.</w:t>
      </w:r>
    </w:p>
    <w:p w14:paraId="412C7C0E" w14:textId="77777777" w:rsidR="005D3DF7" w:rsidRPr="00EE35F4" w:rsidRDefault="005D3DF7" w:rsidP="00E35770">
      <w:pPr>
        <w:spacing w:before="240" w:after="120"/>
        <w:ind w:firstLine="0"/>
        <w:rPr>
          <w:rFonts w:asciiTheme="majorHAnsi" w:hAnsiTheme="majorHAnsi"/>
        </w:rPr>
      </w:pPr>
      <w:r w:rsidRPr="00EE35F4">
        <w:rPr>
          <w:rFonts w:asciiTheme="majorHAnsi" w:hAnsiTheme="majorHAnsi"/>
        </w:rPr>
        <w:t xml:space="preserve">Furthermore, Section E.12.1 of the </w:t>
      </w:r>
      <w:r w:rsidRPr="00EE35F4">
        <w:rPr>
          <w:rFonts w:asciiTheme="majorHAnsi" w:hAnsiTheme="majorHAnsi"/>
          <w:i/>
        </w:rPr>
        <w:t>Manual</w:t>
      </w:r>
      <w:r w:rsidRPr="00EE35F4">
        <w:rPr>
          <w:rFonts w:asciiTheme="majorHAnsi" w:hAnsiTheme="majorHAnsi"/>
        </w:rPr>
        <w:t xml:space="preserve"> as cited in the Teaching Effectiveness Report of 2015 (UDTS &amp; TILT) and paraphrased below, provides additional areas around which criteria for evaluation may be created:</w:t>
      </w:r>
    </w:p>
    <w:p w14:paraId="629FF9C1" w14:textId="77777777" w:rsidR="005D3DF7" w:rsidRPr="00EE35F4" w:rsidRDefault="005D3DF7" w:rsidP="00E35770">
      <w:pPr>
        <w:numPr>
          <w:ilvl w:val="0"/>
          <w:numId w:val="31"/>
        </w:numPr>
        <w:spacing w:before="120" w:after="120"/>
        <w:ind w:hanging="360"/>
        <w:rPr>
          <w:rFonts w:asciiTheme="majorHAnsi" w:hAnsiTheme="majorHAnsi"/>
        </w:rPr>
      </w:pPr>
      <w:r w:rsidRPr="00EE35F4">
        <w:rPr>
          <w:rFonts w:asciiTheme="majorHAnsi" w:hAnsiTheme="majorHAnsi"/>
        </w:rPr>
        <w:t>quality of instructional materials</w:t>
      </w:r>
    </w:p>
    <w:p w14:paraId="2E3D44B2" w14:textId="77777777" w:rsidR="005D3DF7" w:rsidRPr="00EE35F4" w:rsidRDefault="005D3DF7" w:rsidP="00E35770">
      <w:pPr>
        <w:numPr>
          <w:ilvl w:val="0"/>
          <w:numId w:val="31"/>
        </w:numPr>
        <w:spacing w:before="120" w:after="120"/>
        <w:ind w:hanging="360"/>
        <w:rPr>
          <w:rFonts w:asciiTheme="majorHAnsi" w:hAnsiTheme="majorHAnsi"/>
        </w:rPr>
      </w:pPr>
      <w:r w:rsidRPr="00EE35F4">
        <w:rPr>
          <w:rFonts w:asciiTheme="majorHAnsi" w:hAnsiTheme="majorHAnsi"/>
        </w:rPr>
        <w:t>quality of curriculum design</w:t>
      </w:r>
    </w:p>
    <w:p w14:paraId="7F81237F" w14:textId="77777777" w:rsidR="005D3DF7" w:rsidRPr="00EE35F4" w:rsidRDefault="005D3DF7" w:rsidP="00E35770">
      <w:pPr>
        <w:numPr>
          <w:ilvl w:val="0"/>
          <w:numId w:val="31"/>
        </w:numPr>
        <w:spacing w:before="120" w:after="120"/>
        <w:ind w:hanging="360"/>
        <w:rPr>
          <w:rFonts w:asciiTheme="majorHAnsi" w:hAnsiTheme="majorHAnsi"/>
        </w:rPr>
      </w:pPr>
      <w:r w:rsidRPr="00EE35F4">
        <w:rPr>
          <w:rFonts w:asciiTheme="majorHAnsi" w:hAnsiTheme="majorHAnsi"/>
        </w:rPr>
        <w:t>achievement of student learning outcomes</w:t>
      </w:r>
    </w:p>
    <w:p w14:paraId="183BC03E" w14:textId="77777777" w:rsidR="005D3DF7" w:rsidRPr="00EE35F4" w:rsidRDefault="005D3DF7" w:rsidP="00E35770">
      <w:pPr>
        <w:numPr>
          <w:ilvl w:val="0"/>
          <w:numId w:val="31"/>
        </w:numPr>
        <w:spacing w:before="120" w:after="120"/>
        <w:ind w:hanging="360"/>
        <w:rPr>
          <w:rFonts w:asciiTheme="majorHAnsi" w:hAnsiTheme="majorHAnsi"/>
        </w:rPr>
      </w:pPr>
      <w:r w:rsidRPr="00EE35F4">
        <w:rPr>
          <w:rFonts w:asciiTheme="majorHAnsi" w:hAnsiTheme="majorHAnsi"/>
        </w:rPr>
        <w:t>effectiveness at presenting information, managing class sessions, encouraging student engagement and critical thinking, and responding to student work</w:t>
      </w:r>
    </w:p>
    <w:p w14:paraId="474ABCCD" w14:textId="77777777" w:rsidR="005D3DF7" w:rsidRPr="00EE35F4" w:rsidRDefault="005D3DF7" w:rsidP="00E35770">
      <w:pPr>
        <w:spacing w:before="240" w:after="120"/>
        <w:ind w:firstLine="0"/>
        <w:rPr>
          <w:rFonts w:asciiTheme="majorHAnsi" w:hAnsiTheme="majorHAnsi"/>
        </w:rPr>
      </w:pPr>
      <w:r w:rsidRPr="00EE35F4">
        <w:rPr>
          <w:rFonts w:asciiTheme="majorHAnsi" w:hAnsiTheme="majorHAnsi"/>
        </w:rPr>
        <w:t>Our value of teaching should lead us to look for important qualities and skills in an instructor including thorough preparation; the ability to create an atmosphere of open and free thinking; responsiveness in making needed changes to assignments, assessments, and course content; showing creativity and commitment in contributing to curricular changes; support of students and positive student outcomes; and disseminating these practices to the larger community of educators. Multiple methods of dissemination should be valued – that is – campus and conference presentations are as worthy of reward as written publication in refereed journals.</w:t>
      </w:r>
    </w:p>
    <w:p w14:paraId="1939D9BE" w14:textId="77777777" w:rsidR="005D3DF7" w:rsidRPr="00EE35F4" w:rsidRDefault="005D3DF7" w:rsidP="00E35770">
      <w:pPr>
        <w:spacing w:before="240" w:after="120"/>
        <w:ind w:firstLine="0"/>
        <w:rPr>
          <w:rFonts w:asciiTheme="majorHAnsi" w:hAnsiTheme="majorHAnsi"/>
        </w:rPr>
      </w:pPr>
      <w:r w:rsidRPr="00EE35F4">
        <w:rPr>
          <w:rFonts w:asciiTheme="majorHAnsi" w:hAnsiTheme="majorHAnsi"/>
        </w:rPr>
        <w:t>It is critical that departments adhere to ethical practices in codifying evaluation criteria, resisting the urge to reward only ostentatious accomplishments that better the unit’s reputation, disregarding humbler and less obvious efforts that are effective in the classroom, benefit students, and strengthen the curriculum from the bottom up.</w:t>
      </w:r>
    </w:p>
    <w:p w14:paraId="5B631C9F" w14:textId="77777777" w:rsidR="005D3DF7" w:rsidRPr="00EE35F4" w:rsidRDefault="005D3DF7" w:rsidP="00E35770">
      <w:pPr>
        <w:spacing w:before="240" w:after="120"/>
        <w:ind w:firstLine="0"/>
        <w:rPr>
          <w:rFonts w:asciiTheme="majorHAnsi" w:hAnsiTheme="majorHAnsi"/>
        </w:rPr>
      </w:pPr>
      <w:r w:rsidRPr="00EE35F4">
        <w:rPr>
          <w:rFonts w:asciiTheme="majorHAnsi" w:hAnsiTheme="majorHAnsi"/>
        </w:rPr>
        <w:t xml:space="preserve">In the evaluation of Teaching Faculty, faculty members will provide appropriate documentation as relates to their workload distributions and job responsibilities detailed in their offer letters. Below are some evidence that may be provided by Teaching Faculty to illustrate their </w:t>
      </w:r>
      <w:r w:rsidRPr="00EE35F4">
        <w:rPr>
          <w:rFonts w:asciiTheme="majorHAnsi" w:hAnsiTheme="majorHAnsi"/>
        </w:rPr>
        <w:lastRenderedPageBreak/>
        <w:t>accomplishments and demonstrate the meeting of set criteria in teaching, service, and scholarship/research.</w:t>
      </w:r>
    </w:p>
    <w:p w14:paraId="044DEE5C" w14:textId="77777777" w:rsidR="005D3DF7" w:rsidRPr="00E35770" w:rsidRDefault="005D3DF7" w:rsidP="005D3DF7">
      <w:pPr>
        <w:pStyle w:val="Heading6"/>
        <w:spacing w:before="240" w:after="120"/>
        <w:rPr>
          <w:rFonts w:asciiTheme="majorHAnsi" w:hAnsiTheme="majorHAnsi"/>
          <w:color w:val="003300"/>
          <w:sz w:val="24"/>
        </w:rPr>
      </w:pPr>
      <w:bookmarkStart w:id="27" w:name="h.1y810tw" w:colFirst="0" w:colLast="0"/>
      <w:bookmarkStart w:id="28" w:name="h.4i7ojhp" w:colFirst="0" w:colLast="0"/>
      <w:bookmarkEnd w:id="27"/>
      <w:bookmarkEnd w:id="28"/>
      <w:r w:rsidRPr="00E35770">
        <w:rPr>
          <w:rFonts w:asciiTheme="majorHAnsi" w:hAnsiTheme="majorHAnsi"/>
          <w:color w:val="003300"/>
          <w:sz w:val="24"/>
        </w:rPr>
        <w:t>Evidence of Teaching Activities and Effectiveness for Teaching Appointment Faculty--any of the following:</w:t>
      </w:r>
    </w:p>
    <w:p w14:paraId="3CBDF6CB" w14:textId="77777777" w:rsidR="005D3DF7" w:rsidRPr="00EE35F4" w:rsidRDefault="005D3DF7" w:rsidP="00B55FC2">
      <w:pPr>
        <w:numPr>
          <w:ilvl w:val="0"/>
          <w:numId w:val="44"/>
        </w:numPr>
        <w:spacing w:before="240" w:after="120"/>
        <w:ind w:hanging="360"/>
        <w:rPr>
          <w:rFonts w:asciiTheme="majorHAnsi" w:hAnsiTheme="majorHAnsi"/>
        </w:rPr>
      </w:pPr>
      <w:r w:rsidRPr="00EE35F4">
        <w:rPr>
          <w:rFonts w:asciiTheme="majorHAnsi" w:hAnsiTheme="majorHAnsi"/>
        </w:rPr>
        <w:t>A list of courses taught during the evaluation period (for each course, provide course name and number, enrollment, credit hours, contact hours and whether the course was co-taught)</w:t>
      </w:r>
    </w:p>
    <w:p w14:paraId="5EB1AC80" w14:textId="77777777" w:rsidR="005D3DF7" w:rsidRPr="00EE35F4" w:rsidRDefault="005D3DF7" w:rsidP="00B55FC2">
      <w:pPr>
        <w:numPr>
          <w:ilvl w:val="0"/>
          <w:numId w:val="44"/>
        </w:numPr>
        <w:spacing w:before="240" w:after="120"/>
        <w:ind w:hanging="360"/>
        <w:rPr>
          <w:rFonts w:asciiTheme="majorHAnsi" w:hAnsiTheme="majorHAnsi"/>
        </w:rPr>
      </w:pPr>
      <w:r w:rsidRPr="00EE35F4">
        <w:rPr>
          <w:rFonts w:asciiTheme="majorHAnsi" w:hAnsiTheme="majorHAnsi"/>
        </w:rPr>
        <w:t>Curriculum development and course materials</w:t>
      </w:r>
    </w:p>
    <w:p w14:paraId="613393C6" w14:textId="77777777" w:rsidR="005D3DF7" w:rsidRPr="00EE35F4" w:rsidRDefault="005D3DF7" w:rsidP="005D3DF7">
      <w:pPr>
        <w:ind w:left="1080" w:firstLine="0"/>
        <w:rPr>
          <w:rFonts w:asciiTheme="majorHAnsi" w:hAnsiTheme="majorHAnsi"/>
        </w:rPr>
      </w:pPr>
      <w:r w:rsidRPr="00EE35F4">
        <w:rPr>
          <w:rFonts w:asciiTheme="majorHAnsi" w:hAnsiTheme="majorHAnsi"/>
        </w:rPr>
        <w:t>Course proposals</w:t>
      </w:r>
    </w:p>
    <w:p w14:paraId="12B8F4A4" w14:textId="77777777" w:rsidR="005D3DF7" w:rsidRPr="00EE35F4" w:rsidRDefault="005D3DF7" w:rsidP="005D3DF7">
      <w:pPr>
        <w:ind w:left="1080" w:firstLine="0"/>
        <w:rPr>
          <w:rFonts w:asciiTheme="majorHAnsi" w:hAnsiTheme="majorHAnsi"/>
        </w:rPr>
      </w:pPr>
      <w:r w:rsidRPr="00EE35F4">
        <w:rPr>
          <w:rFonts w:asciiTheme="majorHAnsi" w:hAnsiTheme="majorHAnsi"/>
        </w:rPr>
        <w:t>Course syllabi</w:t>
      </w:r>
    </w:p>
    <w:p w14:paraId="5C8DE5A8" w14:textId="77777777" w:rsidR="005D3DF7" w:rsidRPr="00EE35F4" w:rsidRDefault="005D3DF7" w:rsidP="005D3DF7">
      <w:pPr>
        <w:ind w:left="1080" w:firstLine="0"/>
        <w:rPr>
          <w:rFonts w:asciiTheme="majorHAnsi" w:hAnsiTheme="majorHAnsi"/>
        </w:rPr>
      </w:pPr>
      <w:r w:rsidRPr="00EE35F4">
        <w:rPr>
          <w:rFonts w:asciiTheme="majorHAnsi" w:hAnsiTheme="majorHAnsi"/>
        </w:rPr>
        <w:t>Handouts</w:t>
      </w:r>
    </w:p>
    <w:p w14:paraId="4AB05312" w14:textId="77777777" w:rsidR="005D3DF7" w:rsidRPr="00EE35F4" w:rsidRDefault="005D3DF7" w:rsidP="005D3DF7">
      <w:pPr>
        <w:ind w:left="1080" w:firstLine="0"/>
        <w:rPr>
          <w:rFonts w:asciiTheme="majorHAnsi" w:hAnsiTheme="majorHAnsi"/>
        </w:rPr>
      </w:pPr>
      <w:r w:rsidRPr="00EE35F4">
        <w:rPr>
          <w:rFonts w:asciiTheme="majorHAnsi" w:hAnsiTheme="majorHAnsi"/>
        </w:rPr>
        <w:t>Web-based materials</w:t>
      </w:r>
    </w:p>
    <w:p w14:paraId="696FA8BC" w14:textId="77777777" w:rsidR="005D3DF7" w:rsidRPr="00EE35F4" w:rsidRDefault="005D3DF7" w:rsidP="005D3DF7">
      <w:pPr>
        <w:ind w:left="1080" w:firstLine="0"/>
        <w:rPr>
          <w:rFonts w:asciiTheme="majorHAnsi" w:hAnsiTheme="majorHAnsi"/>
        </w:rPr>
      </w:pPr>
      <w:r w:rsidRPr="00EE35F4">
        <w:rPr>
          <w:rFonts w:asciiTheme="majorHAnsi" w:hAnsiTheme="majorHAnsi"/>
        </w:rPr>
        <w:t>Courseware</w:t>
      </w:r>
    </w:p>
    <w:p w14:paraId="7BA93445" w14:textId="77777777" w:rsidR="005D3DF7" w:rsidRPr="00EE35F4" w:rsidRDefault="005D3DF7" w:rsidP="005D3DF7">
      <w:pPr>
        <w:ind w:left="1080" w:firstLine="0"/>
        <w:rPr>
          <w:rFonts w:asciiTheme="majorHAnsi" w:hAnsiTheme="majorHAnsi"/>
        </w:rPr>
      </w:pPr>
      <w:r w:rsidRPr="00EE35F4">
        <w:rPr>
          <w:rFonts w:asciiTheme="majorHAnsi" w:hAnsiTheme="majorHAnsi"/>
        </w:rPr>
        <w:t>Assignments</w:t>
      </w:r>
    </w:p>
    <w:p w14:paraId="25474490" w14:textId="77777777" w:rsidR="005D3DF7" w:rsidRPr="00EE35F4" w:rsidRDefault="005D3DF7" w:rsidP="005D3DF7">
      <w:pPr>
        <w:ind w:left="1080" w:firstLine="0"/>
        <w:rPr>
          <w:rFonts w:asciiTheme="majorHAnsi" w:hAnsiTheme="majorHAnsi"/>
        </w:rPr>
      </w:pPr>
      <w:r w:rsidRPr="00EE35F4">
        <w:rPr>
          <w:rFonts w:asciiTheme="majorHAnsi" w:hAnsiTheme="majorHAnsi"/>
        </w:rPr>
        <w:t>Assessments (exams, quizzes, etc.)</w:t>
      </w:r>
    </w:p>
    <w:p w14:paraId="3A1E07C7" w14:textId="77777777" w:rsidR="005D3DF7" w:rsidRPr="00EE35F4" w:rsidRDefault="005D3DF7" w:rsidP="00B55FC2">
      <w:pPr>
        <w:numPr>
          <w:ilvl w:val="0"/>
          <w:numId w:val="44"/>
        </w:numPr>
        <w:spacing w:before="240" w:after="120"/>
        <w:ind w:hanging="360"/>
        <w:rPr>
          <w:rFonts w:asciiTheme="majorHAnsi" w:hAnsiTheme="majorHAnsi"/>
        </w:rPr>
      </w:pPr>
      <w:r w:rsidRPr="00EE35F4">
        <w:rPr>
          <w:rFonts w:asciiTheme="majorHAnsi" w:hAnsiTheme="majorHAnsi"/>
        </w:rPr>
        <w:t>Evidence of integration of critical thinking activities into courses</w:t>
      </w:r>
    </w:p>
    <w:p w14:paraId="2D1D315D" w14:textId="77777777" w:rsidR="005D3DF7" w:rsidRPr="00EE35F4" w:rsidRDefault="005D3DF7" w:rsidP="00B55FC2">
      <w:pPr>
        <w:numPr>
          <w:ilvl w:val="0"/>
          <w:numId w:val="44"/>
        </w:numPr>
        <w:spacing w:before="240" w:after="120"/>
        <w:ind w:hanging="360"/>
        <w:rPr>
          <w:rFonts w:asciiTheme="majorHAnsi" w:hAnsiTheme="majorHAnsi"/>
        </w:rPr>
      </w:pPr>
      <w:r w:rsidRPr="00EE35F4">
        <w:rPr>
          <w:rFonts w:asciiTheme="majorHAnsi" w:hAnsiTheme="majorHAnsi"/>
        </w:rPr>
        <w:t>Evidence of effective technology used in teaching and learning</w:t>
      </w:r>
    </w:p>
    <w:p w14:paraId="53FB8EFB" w14:textId="77777777" w:rsidR="005D3DF7" w:rsidRPr="00EE35F4" w:rsidRDefault="005D3DF7" w:rsidP="00B55FC2">
      <w:pPr>
        <w:numPr>
          <w:ilvl w:val="0"/>
          <w:numId w:val="44"/>
        </w:numPr>
        <w:spacing w:before="240" w:after="120"/>
        <w:ind w:hanging="360"/>
        <w:rPr>
          <w:rFonts w:asciiTheme="majorHAnsi" w:hAnsiTheme="majorHAnsi"/>
        </w:rPr>
      </w:pPr>
      <w:r w:rsidRPr="00EE35F4">
        <w:rPr>
          <w:rFonts w:asciiTheme="majorHAnsi" w:hAnsiTheme="majorHAnsi"/>
        </w:rPr>
        <w:t>Evidence of use of engaging activities outside of class sessions (e.g., group projects, support for formation of study groups, discussion forums, ePortfolios, wikis)</w:t>
      </w:r>
    </w:p>
    <w:p w14:paraId="74A916FC" w14:textId="77777777" w:rsidR="005D3DF7" w:rsidRPr="00EE35F4" w:rsidRDefault="005D3DF7" w:rsidP="00B55FC2">
      <w:pPr>
        <w:numPr>
          <w:ilvl w:val="0"/>
          <w:numId w:val="44"/>
        </w:numPr>
        <w:spacing w:before="240" w:after="120"/>
        <w:ind w:hanging="360"/>
        <w:rPr>
          <w:rFonts w:asciiTheme="majorHAnsi" w:hAnsiTheme="majorHAnsi"/>
        </w:rPr>
      </w:pPr>
      <w:r w:rsidRPr="00EE35F4">
        <w:rPr>
          <w:rFonts w:asciiTheme="majorHAnsi" w:hAnsiTheme="majorHAnsi"/>
        </w:rPr>
        <w:t>Evidence of innovations in courses (e.g., improvements on past practices or efforts to incorporate new knowledge and processes within the discipline)</w:t>
      </w:r>
    </w:p>
    <w:p w14:paraId="15E3BFA7" w14:textId="77777777" w:rsidR="005D3DF7" w:rsidRPr="00EE35F4" w:rsidRDefault="005D3DF7" w:rsidP="00B55FC2">
      <w:pPr>
        <w:numPr>
          <w:ilvl w:val="0"/>
          <w:numId w:val="44"/>
        </w:numPr>
        <w:spacing w:before="240" w:after="120"/>
        <w:ind w:hanging="360"/>
        <w:rPr>
          <w:rFonts w:asciiTheme="majorHAnsi" w:hAnsiTheme="majorHAnsi"/>
        </w:rPr>
      </w:pPr>
      <w:r w:rsidRPr="00EE35F4">
        <w:rPr>
          <w:rFonts w:asciiTheme="majorHAnsi" w:hAnsiTheme="majorHAnsi"/>
        </w:rPr>
        <w:t>Leadership and/or initiative to design a new course or re-design an existing course</w:t>
      </w:r>
    </w:p>
    <w:p w14:paraId="5D3C381E" w14:textId="77777777" w:rsidR="005D3DF7" w:rsidRPr="00EE35F4" w:rsidRDefault="005D3DF7" w:rsidP="00B55FC2">
      <w:pPr>
        <w:numPr>
          <w:ilvl w:val="0"/>
          <w:numId w:val="44"/>
        </w:numPr>
        <w:spacing w:before="240" w:after="120"/>
        <w:ind w:hanging="360"/>
        <w:rPr>
          <w:rFonts w:asciiTheme="majorHAnsi" w:hAnsiTheme="majorHAnsi"/>
        </w:rPr>
      </w:pPr>
      <w:r w:rsidRPr="00EE35F4">
        <w:rPr>
          <w:rFonts w:asciiTheme="majorHAnsi" w:hAnsiTheme="majorHAnsi"/>
        </w:rPr>
        <w:t>Appropriate course evaluations (student-based)</w:t>
      </w:r>
    </w:p>
    <w:p w14:paraId="6A41B78E" w14:textId="77777777" w:rsidR="005D3DF7" w:rsidRPr="00EE35F4" w:rsidRDefault="005D3DF7" w:rsidP="00B55FC2">
      <w:pPr>
        <w:numPr>
          <w:ilvl w:val="0"/>
          <w:numId w:val="44"/>
        </w:numPr>
        <w:spacing w:before="240" w:after="120"/>
        <w:ind w:hanging="360"/>
        <w:rPr>
          <w:rFonts w:asciiTheme="majorHAnsi" w:hAnsiTheme="majorHAnsi"/>
        </w:rPr>
      </w:pPr>
      <w:r w:rsidRPr="00EE35F4">
        <w:rPr>
          <w:rFonts w:asciiTheme="majorHAnsi" w:hAnsiTheme="majorHAnsi"/>
        </w:rPr>
        <w:t>Letters from current or former students</w:t>
      </w:r>
    </w:p>
    <w:p w14:paraId="762BA88F" w14:textId="77777777" w:rsidR="005D3DF7" w:rsidRPr="00EE35F4" w:rsidRDefault="005D3DF7" w:rsidP="00B55FC2">
      <w:pPr>
        <w:numPr>
          <w:ilvl w:val="0"/>
          <w:numId w:val="44"/>
        </w:numPr>
        <w:spacing w:before="240" w:after="120"/>
        <w:ind w:hanging="360"/>
        <w:rPr>
          <w:rFonts w:asciiTheme="majorHAnsi" w:hAnsiTheme="majorHAnsi"/>
        </w:rPr>
      </w:pPr>
      <w:r w:rsidRPr="00EE35F4">
        <w:rPr>
          <w:rFonts w:asciiTheme="majorHAnsi" w:hAnsiTheme="majorHAnsi"/>
        </w:rPr>
        <w:t>Teaching awards</w:t>
      </w:r>
    </w:p>
    <w:p w14:paraId="03EE7E53" w14:textId="77777777" w:rsidR="005D3DF7" w:rsidRPr="00EE35F4" w:rsidRDefault="005D3DF7" w:rsidP="00B55FC2">
      <w:pPr>
        <w:numPr>
          <w:ilvl w:val="0"/>
          <w:numId w:val="44"/>
        </w:numPr>
        <w:spacing w:before="240" w:after="120"/>
        <w:ind w:hanging="360"/>
        <w:rPr>
          <w:rFonts w:asciiTheme="majorHAnsi" w:hAnsiTheme="majorHAnsi"/>
        </w:rPr>
      </w:pPr>
      <w:r w:rsidRPr="00EE35F4">
        <w:rPr>
          <w:rFonts w:asciiTheme="majorHAnsi" w:hAnsiTheme="majorHAnsi"/>
        </w:rPr>
        <w:t>Evidence of participation in professional development activities related to teaching and learning</w:t>
      </w:r>
    </w:p>
    <w:p w14:paraId="6F70D9BE" w14:textId="77777777" w:rsidR="005D3DF7" w:rsidRPr="00EE35F4" w:rsidRDefault="005D3DF7" w:rsidP="00B55FC2">
      <w:pPr>
        <w:numPr>
          <w:ilvl w:val="0"/>
          <w:numId w:val="44"/>
        </w:numPr>
        <w:spacing w:before="240" w:after="120"/>
        <w:ind w:hanging="360"/>
        <w:rPr>
          <w:rFonts w:asciiTheme="majorHAnsi" w:hAnsiTheme="majorHAnsi"/>
        </w:rPr>
      </w:pPr>
      <w:r w:rsidRPr="00EE35F4">
        <w:rPr>
          <w:rFonts w:asciiTheme="majorHAnsi" w:hAnsiTheme="majorHAnsi"/>
        </w:rPr>
        <w:t>Contributions to the teaching culture in the program or department (such as mentoring colleagues, contributing to program development, sharing instructional materials, participating in TA or GTA training, serving on pedagogically oriented committees)</w:t>
      </w:r>
    </w:p>
    <w:p w14:paraId="575E3293" w14:textId="77777777" w:rsidR="005D3DF7" w:rsidRPr="00EE35F4" w:rsidRDefault="005D3DF7" w:rsidP="00B55FC2">
      <w:pPr>
        <w:numPr>
          <w:ilvl w:val="0"/>
          <w:numId w:val="44"/>
        </w:numPr>
        <w:spacing w:before="240" w:after="120"/>
        <w:ind w:hanging="360"/>
        <w:rPr>
          <w:rFonts w:asciiTheme="majorHAnsi" w:hAnsiTheme="majorHAnsi"/>
        </w:rPr>
      </w:pPr>
      <w:r w:rsidRPr="00EE35F4">
        <w:rPr>
          <w:rFonts w:asciiTheme="majorHAnsi" w:hAnsiTheme="majorHAnsi"/>
        </w:rPr>
        <w:t>Reflective statement on teaching performance and activities calling attention to performance in courses as an instructor, the activities in which they've engaged, and contributions to the department's teaching mission:</w:t>
      </w:r>
    </w:p>
    <w:p w14:paraId="53C7289D" w14:textId="77777777" w:rsidR="005D3DF7" w:rsidRPr="00EE35F4" w:rsidRDefault="005D3DF7" w:rsidP="00E35770">
      <w:pPr>
        <w:numPr>
          <w:ilvl w:val="1"/>
          <w:numId w:val="44"/>
        </w:numPr>
        <w:spacing w:before="120" w:after="120"/>
        <w:ind w:hanging="360"/>
        <w:rPr>
          <w:rFonts w:asciiTheme="majorHAnsi" w:hAnsiTheme="majorHAnsi"/>
        </w:rPr>
      </w:pPr>
      <w:r w:rsidRPr="00EE35F4">
        <w:rPr>
          <w:rFonts w:asciiTheme="majorHAnsi" w:hAnsiTheme="majorHAnsi"/>
        </w:rPr>
        <w:t>Address teaching goals (short term and long term)</w:t>
      </w:r>
    </w:p>
    <w:p w14:paraId="1A6DE881" w14:textId="77777777" w:rsidR="005D3DF7" w:rsidRPr="00EE35F4" w:rsidRDefault="005D3DF7" w:rsidP="00E35770">
      <w:pPr>
        <w:numPr>
          <w:ilvl w:val="1"/>
          <w:numId w:val="44"/>
        </w:numPr>
        <w:spacing w:before="120" w:after="120"/>
        <w:ind w:hanging="360"/>
        <w:rPr>
          <w:rFonts w:asciiTheme="majorHAnsi" w:hAnsiTheme="majorHAnsi"/>
        </w:rPr>
      </w:pPr>
      <w:r w:rsidRPr="00EE35F4">
        <w:rPr>
          <w:rFonts w:asciiTheme="majorHAnsi" w:hAnsiTheme="majorHAnsi"/>
        </w:rPr>
        <w:t>Reflect on efforts to enhance teaching and learning in specific courses</w:t>
      </w:r>
    </w:p>
    <w:p w14:paraId="057D4BB3" w14:textId="77777777" w:rsidR="005D3DF7" w:rsidRPr="00EE35F4" w:rsidRDefault="005D3DF7" w:rsidP="00E35770">
      <w:pPr>
        <w:numPr>
          <w:ilvl w:val="1"/>
          <w:numId w:val="44"/>
        </w:numPr>
        <w:spacing w:before="120" w:after="120"/>
        <w:ind w:hanging="360"/>
        <w:rPr>
          <w:rFonts w:asciiTheme="majorHAnsi" w:hAnsiTheme="majorHAnsi"/>
        </w:rPr>
      </w:pPr>
      <w:r w:rsidRPr="00EE35F4">
        <w:rPr>
          <w:rFonts w:asciiTheme="majorHAnsi" w:hAnsiTheme="majorHAnsi"/>
        </w:rPr>
        <w:t>Discuss student and or peer evaluations and any goals that have arisen as a result of feedback.</w:t>
      </w:r>
      <w:bookmarkStart w:id="29" w:name="h.2xcytpi" w:colFirst="0" w:colLast="0"/>
      <w:bookmarkEnd w:id="29"/>
    </w:p>
    <w:p w14:paraId="32CDB34C" w14:textId="77777777" w:rsidR="005D3DF7" w:rsidRPr="00312F0E" w:rsidRDefault="005D3DF7" w:rsidP="005D3DF7">
      <w:pPr>
        <w:pStyle w:val="Heading5"/>
        <w:spacing w:before="240" w:after="120"/>
        <w:rPr>
          <w:rFonts w:asciiTheme="majorHAnsi" w:hAnsiTheme="majorHAnsi"/>
          <w:color w:val="003300"/>
        </w:rPr>
      </w:pPr>
      <w:r w:rsidRPr="00312F0E">
        <w:rPr>
          <w:rFonts w:asciiTheme="majorHAnsi" w:hAnsiTheme="majorHAnsi"/>
          <w:color w:val="003300"/>
        </w:rPr>
        <w:lastRenderedPageBreak/>
        <w:t>Service Activities for Teaching Appointment Faculty – any of the following:</w:t>
      </w:r>
    </w:p>
    <w:p w14:paraId="186436F7" w14:textId="77777777" w:rsidR="005D3DF7" w:rsidRPr="00EE35F4" w:rsidRDefault="005D3DF7" w:rsidP="00B55FC2">
      <w:pPr>
        <w:numPr>
          <w:ilvl w:val="0"/>
          <w:numId w:val="16"/>
        </w:numPr>
        <w:spacing w:after="120"/>
        <w:ind w:hanging="360"/>
        <w:rPr>
          <w:rFonts w:asciiTheme="majorHAnsi" w:hAnsiTheme="majorHAnsi"/>
        </w:rPr>
      </w:pPr>
      <w:r w:rsidRPr="00EE35F4">
        <w:rPr>
          <w:rFonts w:asciiTheme="majorHAnsi" w:hAnsiTheme="majorHAnsi"/>
        </w:rPr>
        <w:t>Serving on and taking leadership roles on committees (departmental, college, university, national, international, professional societies)</w:t>
      </w:r>
    </w:p>
    <w:p w14:paraId="579D58BA" w14:textId="77777777" w:rsidR="005D3DF7" w:rsidRPr="00EE35F4" w:rsidRDefault="005D3DF7" w:rsidP="00B55FC2">
      <w:pPr>
        <w:numPr>
          <w:ilvl w:val="0"/>
          <w:numId w:val="16"/>
        </w:numPr>
        <w:spacing w:after="120"/>
        <w:ind w:hanging="360"/>
        <w:rPr>
          <w:rFonts w:asciiTheme="majorHAnsi" w:hAnsiTheme="majorHAnsi"/>
        </w:rPr>
      </w:pPr>
      <w:r w:rsidRPr="00EE35F4">
        <w:rPr>
          <w:rFonts w:asciiTheme="majorHAnsi" w:hAnsiTheme="majorHAnsi"/>
        </w:rPr>
        <w:t>Serving as a journal reviewer</w:t>
      </w:r>
    </w:p>
    <w:p w14:paraId="4A61BDD9" w14:textId="77777777" w:rsidR="005D3DF7" w:rsidRPr="00EE35F4" w:rsidRDefault="005D3DF7" w:rsidP="00B55FC2">
      <w:pPr>
        <w:numPr>
          <w:ilvl w:val="0"/>
          <w:numId w:val="16"/>
        </w:numPr>
        <w:spacing w:after="120"/>
        <w:ind w:hanging="360"/>
        <w:rPr>
          <w:rFonts w:asciiTheme="majorHAnsi" w:hAnsiTheme="majorHAnsi"/>
        </w:rPr>
      </w:pPr>
      <w:r w:rsidRPr="00EE35F4">
        <w:rPr>
          <w:rFonts w:asciiTheme="majorHAnsi" w:hAnsiTheme="majorHAnsi"/>
        </w:rPr>
        <w:t>Organizing workshops (scientific or pedagogical)</w:t>
      </w:r>
    </w:p>
    <w:p w14:paraId="22BD055A" w14:textId="77777777" w:rsidR="005D3DF7" w:rsidRPr="00EE35F4" w:rsidRDefault="005D3DF7" w:rsidP="00B55FC2">
      <w:pPr>
        <w:numPr>
          <w:ilvl w:val="0"/>
          <w:numId w:val="16"/>
        </w:numPr>
        <w:spacing w:after="120"/>
        <w:ind w:hanging="360"/>
        <w:rPr>
          <w:rFonts w:asciiTheme="majorHAnsi" w:hAnsiTheme="majorHAnsi"/>
        </w:rPr>
      </w:pPr>
      <w:r w:rsidRPr="00EE35F4">
        <w:rPr>
          <w:rFonts w:asciiTheme="majorHAnsi" w:hAnsiTheme="majorHAnsi"/>
        </w:rPr>
        <w:t>Serving on mentoring committees for junior faculty</w:t>
      </w:r>
    </w:p>
    <w:p w14:paraId="4883072A" w14:textId="77777777" w:rsidR="005D3DF7" w:rsidRPr="00EE35F4" w:rsidRDefault="005D3DF7" w:rsidP="00B55FC2">
      <w:pPr>
        <w:numPr>
          <w:ilvl w:val="0"/>
          <w:numId w:val="16"/>
        </w:numPr>
        <w:spacing w:after="120"/>
        <w:ind w:hanging="360"/>
        <w:rPr>
          <w:rFonts w:asciiTheme="majorHAnsi" w:hAnsiTheme="majorHAnsi"/>
        </w:rPr>
      </w:pPr>
      <w:r w:rsidRPr="00EE35F4">
        <w:rPr>
          <w:rFonts w:asciiTheme="majorHAnsi" w:hAnsiTheme="majorHAnsi"/>
        </w:rPr>
        <w:t>Mentoring junior faculty in teaching</w:t>
      </w:r>
    </w:p>
    <w:p w14:paraId="65B6BC4F" w14:textId="77777777" w:rsidR="005D3DF7" w:rsidRPr="00EE35F4" w:rsidRDefault="005D3DF7" w:rsidP="00B55FC2">
      <w:pPr>
        <w:numPr>
          <w:ilvl w:val="0"/>
          <w:numId w:val="16"/>
        </w:numPr>
        <w:spacing w:after="120"/>
        <w:ind w:hanging="360"/>
        <w:rPr>
          <w:rFonts w:asciiTheme="majorHAnsi" w:hAnsiTheme="majorHAnsi"/>
        </w:rPr>
      </w:pPr>
      <w:r w:rsidRPr="00EE35F4">
        <w:rPr>
          <w:rFonts w:asciiTheme="majorHAnsi" w:hAnsiTheme="majorHAnsi"/>
        </w:rPr>
        <w:t>Peer reviewing faculty teaching</w:t>
      </w:r>
    </w:p>
    <w:p w14:paraId="2E630BAD" w14:textId="77777777" w:rsidR="005D3DF7" w:rsidRPr="00312F0E" w:rsidRDefault="005D3DF7" w:rsidP="00312F0E">
      <w:pPr>
        <w:pStyle w:val="Heading5"/>
        <w:spacing w:before="240" w:after="120"/>
        <w:rPr>
          <w:rFonts w:asciiTheme="majorHAnsi" w:hAnsiTheme="majorHAnsi"/>
          <w:color w:val="003300"/>
        </w:rPr>
      </w:pPr>
      <w:bookmarkStart w:id="30" w:name="h.1ci93xb" w:colFirst="0" w:colLast="0"/>
      <w:bookmarkEnd w:id="30"/>
      <w:r w:rsidRPr="00312F0E">
        <w:rPr>
          <w:rFonts w:asciiTheme="majorHAnsi" w:hAnsiTheme="majorHAnsi"/>
          <w:color w:val="003300"/>
        </w:rPr>
        <w:t>Evidence of Scholarship for Career Track Teaching Appointment Faculty (i.e., Junior or Senior) – any of the following:</w:t>
      </w:r>
    </w:p>
    <w:p w14:paraId="28C3B1AF" w14:textId="77777777" w:rsidR="005D3DF7" w:rsidRPr="00EE35F4" w:rsidRDefault="005D3DF7" w:rsidP="00B55FC2">
      <w:pPr>
        <w:numPr>
          <w:ilvl w:val="0"/>
          <w:numId w:val="14"/>
        </w:numPr>
        <w:spacing w:after="120"/>
        <w:ind w:hanging="360"/>
        <w:rPr>
          <w:rFonts w:asciiTheme="majorHAnsi" w:hAnsiTheme="majorHAnsi"/>
        </w:rPr>
      </w:pPr>
      <w:r w:rsidRPr="00EE35F4">
        <w:rPr>
          <w:rFonts w:asciiTheme="majorHAnsi" w:hAnsiTheme="majorHAnsi"/>
        </w:rPr>
        <w:t>Using teaching tools/pedagogies/technologies developed by other faculty members within and outside the university</w:t>
      </w:r>
    </w:p>
    <w:p w14:paraId="76844523" w14:textId="77777777" w:rsidR="005D3DF7" w:rsidRPr="00EE35F4" w:rsidRDefault="005D3DF7" w:rsidP="00B55FC2">
      <w:pPr>
        <w:numPr>
          <w:ilvl w:val="0"/>
          <w:numId w:val="14"/>
        </w:numPr>
        <w:spacing w:after="120"/>
        <w:ind w:hanging="360"/>
        <w:rPr>
          <w:rFonts w:asciiTheme="majorHAnsi" w:hAnsiTheme="majorHAnsi"/>
        </w:rPr>
      </w:pPr>
      <w:r w:rsidRPr="00EE35F4">
        <w:rPr>
          <w:rFonts w:asciiTheme="majorHAnsi" w:hAnsiTheme="majorHAnsi"/>
        </w:rPr>
        <w:t>Developing new or revising existing pedagogical approaches or tools</w:t>
      </w:r>
    </w:p>
    <w:p w14:paraId="4B5D4341" w14:textId="77777777" w:rsidR="005D3DF7" w:rsidRPr="00EE35F4" w:rsidRDefault="005D3DF7" w:rsidP="00B55FC2">
      <w:pPr>
        <w:numPr>
          <w:ilvl w:val="0"/>
          <w:numId w:val="14"/>
        </w:numPr>
        <w:spacing w:after="120"/>
        <w:ind w:hanging="360"/>
        <w:rPr>
          <w:rFonts w:asciiTheme="majorHAnsi" w:hAnsiTheme="majorHAnsi"/>
        </w:rPr>
      </w:pPr>
      <w:r w:rsidRPr="00EE35F4">
        <w:rPr>
          <w:rFonts w:asciiTheme="majorHAnsi" w:hAnsiTheme="majorHAnsi"/>
        </w:rPr>
        <w:t>Serving on professional society education committees</w:t>
      </w:r>
    </w:p>
    <w:p w14:paraId="53E9F20C" w14:textId="77777777" w:rsidR="005D3DF7" w:rsidRPr="00EE35F4" w:rsidRDefault="005D3DF7" w:rsidP="00B55FC2">
      <w:pPr>
        <w:numPr>
          <w:ilvl w:val="0"/>
          <w:numId w:val="14"/>
        </w:numPr>
        <w:spacing w:after="120"/>
        <w:ind w:hanging="360"/>
        <w:rPr>
          <w:rFonts w:asciiTheme="majorHAnsi" w:hAnsiTheme="majorHAnsi"/>
        </w:rPr>
      </w:pPr>
      <w:r w:rsidRPr="00EE35F4">
        <w:rPr>
          <w:rFonts w:asciiTheme="majorHAnsi" w:hAnsiTheme="majorHAnsi"/>
        </w:rPr>
        <w:t>Serving on education grant or fellowship review committees (most likely for undergraduates, graduates or teaching fellowships)</w:t>
      </w:r>
    </w:p>
    <w:p w14:paraId="50F7A39B" w14:textId="77777777" w:rsidR="005D3DF7" w:rsidRPr="00EE35F4" w:rsidRDefault="005D3DF7" w:rsidP="00B55FC2">
      <w:pPr>
        <w:numPr>
          <w:ilvl w:val="0"/>
          <w:numId w:val="14"/>
        </w:numPr>
        <w:spacing w:after="120"/>
        <w:ind w:hanging="360"/>
        <w:rPr>
          <w:rFonts w:asciiTheme="majorHAnsi" w:hAnsiTheme="majorHAnsi"/>
        </w:rPr>
      </w:pPr>
      <w:r w:rsidRPr="00EE35F4">
        <w:rPr>
          <w:rFonts w:asciiTheme="majorHAnsi" w:hAnsiTheme="majorHAnsi"/>
        </w:rPr>
        <w:t>Organizing education workshops</w:t>
      </w:r>
    </w:p>
    <w:p w14:paraId="474C44B4" w14:textId="77777777" w:rsidR="005D3DF7" w:rsidRPr="00EE35F4" w:rsidRDefault="005D3DF7" w:rsidP="00B55FC2">
      <w:pPr>
        <w:numPr>
          <w:ilvl w:val="0"/>
          <w:numId w:val="14"/>
        </w:numPr>
        <w:spacing w:after="120"/>
        <w:ind w:hanging="360"/>
        <w:rPr>
          <w:rFonts w:asciiTheme="majorHAnsi" w:hAnsiTheme="majorHAnsi"/>
        </w:rPr>
      </w:pPr>
      <w:r w:rsidRPr="00EE35F4">
        <w:rPr>
          <w:rFonts w:asciiTheme="majorHAnsi" w:hAnsiTheme="majorHAnsi"/>
        </w:rPr>
        <w:t>Taking a leadership role in a professional society</w:t>
      </w:r>
    </w:p>
    <w:p w14:paraId="53F48D99" w14:textId="77777777" w:rsidR="005D3DF7" w:rsidRPr="00EE35F4" w:rsidRDefault="005D3DF7" w:rsidP="00B55FC2">
      <w:pPr>
        <w:numPr>
          <w:ilvl w:val="0"/>
          <w:numId w:val="14"/>
        </w:numPr>
        <w:spacing w:after="120"/>
        <w:ind w:hanging="360"/>
        <w:rPr>
          <w:rFonts w:asciiTheme="majorHAnsi" w:hAnsiTheme="majorHAnsi"/>
        </w:rPr>
      </w:pPr>
      <w:r w:rsidRPr="00EE35F4">
        <w:rPr>
          <w:rFonts w:asciiTheme="majorHAnsi" w:hAnsiTheme="majorHAnsi"/>
        </w:rPr>
        <w:t>Serving as reviewer for education journals</w:t>
      </w:r>
    </w:p>
    <w:p w14:paraId="67E9091C" w14:textId="77777777" w:rsidR="005D3DF7" w:rsidRPr="00EE35F4" w:rsidRDefault="005D3DF7" w:rsidP="00B55FC2">
      <w:pPr>
        <w:numPr>
          <w:ilvl w:val="0"/>
          <w:numId w:val="14"/>
        </w:numPr>
        <w:spacing w:after="120"/>
        <w:ind w:hanging="360"/>
        <w:rPr>
          <w:rFonts w:asciiTheme="majorHAnsi" w:hAnsiTheme="majorHAnsi"/>
        </w:rPr>
      </w:pPr>
      <w:r w:rsidRPr="00EE35F4">
        <w:rPr>
          <w:rFonts w:asciiTheme="majorHAnsi" w:hAnsiTheme="majorHAnsi"/>
        </w:rPr>
        <w:t>Publishing education research in peer-reviewed journals</w:t>
      </w:r>
    </w:p>
    <w:p w14:paraId="720F71E7" w14:textId="77777777" w:rsidR="005D3DF7" w:rsidRPr="00EE35F4" w:rsidRDefault="005D3DF7" w:rsidP="00B55FC2">
      <w:pPr>
        <w:numPr>
          <w:ilvl w:val="0"/>
          <w:numId w:val="14"/>
        </w:numPr>
        <w:spacing w:after="120"/>
        <w:ind w:hanging="360"/>
        <w:rPr>
          <w:rFonts w:asciiTheme="majorHAnsi" w:hAnsiTheme="majorHAnsi"/>
        </w:rPr>
      </w:pPr>
      <w:r w:rsidRPr="00EE35F4">
        <w:rPr>
          <w:rFonts w:asciiTheme="majorHAnsi" w:hAnsiTheme="majorHAnsi"/>
        </w:rPr>
        <w:t>Publishing textbooks or textbook chapters</w:t>
      </w:r>
    </w:p>
    <w:p w14:paraId="559198FD" w14:textId="77777777" w:rsidR="005D3DF7" w:rsidRPr="00EE35F4" w:rsidRDefault="005D3DF7" w:rsidP="00B55FC2">
      <w:pPr>
        <w:numPr>
          <w:ilvl w:val="0"/>
          <w:numId w:val="14"/>
        </w:numPr>
        <w:spacing w:after="120"/>
        <w:ind w:hanging="360"/>
        <w:rPr>
          <w:rFonts w:asciiTheme="majorHAnsi" w:hAnsiTheme="majorHAnsi"/>
        </w:rPr>
      </w:pPr>
      <w:r w:rsidRPr="00EE35F4">
        <w:rPr>
          <w:rFonts w:asciiTheme="majorHAnsi" w:hAnsiTheme="majorHAnsi"/>
        </w:rPr>
        <w:t>Nominations for or receiving teaching or advising awards</w:t>
      </w:r>
    </w:p>
    <w:p w14:paraId="4DA6F54E" w14:textId="77777777" w:rsidR="005D3DF7" w:rsidRPr="00EE35F4" w:rsidRDefault="005D3DF7" w:rsidP="00B55FC2">
      <w:pPr>
        <w:numPr>
          <w:ilvl w:val="0"/>
          <w:numId w:val="14"/>
        </w:numPr>
        <w:spacing w:after="120"/>
        <w:ind w:hanging="360"/>
        <w:rPr>
          <w:rFonts w:asciiTheme="majorHAnsi" w:hAnsiTheme="majorHAnsi"/>
        </w:rPr>
      </w:pPr>
      <w:r w:rsidRPr="00EE35F4">
        <w:rPr>
          <w:rFonts w:asciiTheme="majorHAnsi" w:hAnsiTheme="majorHAnsi"/>
        </w:rPr>
        <w:t xml:space="preserve">Pedagogical scholarship (the study of teaching and learning) </w:t>
      </w:r>
    </w:p>
    <w:p w14:paraId="191D918C" w14:textId="77777777" w:rsidR="005D3DF7" w:rsidRPr="00EE35F4" w:rsidRDefault="005D3DF7" w:rsidP="00B55FC2">
      <w:pPr>
        <w:numPr>
          <w:ilvl w:val="0"/>
          <w:numId w:val="14"/>
        </w:numPr>
        <w:spacing w:after="120"/>
        <w:ind w:hanging="360"/>
        <w:rPr>
          <w:rFonts w:asciiTheme="majorHAnsi" w:hAnsiTheme="majorHAnsi"/>
        </w:rPr>
      </w:pPr>
      <w:r w:rsidRPr="00EE35F4">
        <w:rPr>
          <w:rFonts w:asciiTheme="majorHAnsi" w:hAnsiTheme="majorHAnsi"/>
        </w:rPr>
        <w:t>Scientific scholarship (traditional research scholarship)</w:t>
      </w:r>
    </w:p>
    <w:p w14:paraId="1E656407" w14:textId="77777777" w:rsidR="005D3DF7" w:rsidRPr="00EE35F4" w:rsidRDefault="005D3DF7" w:rsidP="005D3DF7">
      <w:pPr>
        <w:spacing w:before="240" w:after="120"/>
        <w:rPr>
          <w:rFonts w:asciiTheme="majorHAnsi" w:hAnsiTheme="majorHAnsi"/>
        </w:rPr>
      </w:pPr>
      <w:r w:rsidRPr="00EE35F4">
        <w:rPr>
          <w:rFonts w:asciiTheme="majorHAnsi" w:hAnsiTheme="majorHAnsi"/>
        </w:rPr>
        <w:br w:type="page"/>
      </w:r>
    </w:p>
    <w:p w14:paraId="32BB34EA" w14:textId="77777777" w:rsidR="005D3DF7" w:rsidRPr="00312F0E" w:rsidRDefault="005D3DF7" w:rsidP="005D3DF7">
      <w:pPr>
        <w:pStyle w:val="Heading2"/>
        <w:spacing w:before="240" w:after="120"/>
        <w:rPr>
          <w:rFonts w:asciiTheme="majorHAnsi" w:hAnsiTheme="majorHAnsi"/>
          <w:b/>
          <w:color w:val="003300"/>
          <w:sz w:val="28"/>
        </w:rPr>
      </w:pPr>
      <w:bookmarkStart w:id="31" w:name="h.3whwml4" w:colFirst="0" w:colLast="0"/>
      <w:bookmarkStart w:id="32" w:name="h.2bn6wsx" w:colFirst="0" w:colLast="0"/>
      <w:bookmarkStart w:id="33" w:name="_Toc452993104"/>
      <w:bookmarkEnd w:id="31"/>
      <w:bookmarkEnd w:id="32"/>
      <w:r w:rsidRPr="00312F0E">
        <w:rPr>
          <w:rFonts w:asciiTheme="majorHAnsi" w:hAnsiTheme="majorHAnsi"/>
          <w:b/>
          <w:color w:val="003300"/>
          <w:sz w:val="32"/>
          <w:szCs w:val="28"/>
        </w:rPr>
        <w:lastRenderedPageBreak/>
        <w:t>Appendix B: Principles and Supporting Evidence for This Proposal</w:t>
      </w:r>
      <w:bookmarkEnd w:id="33"/>
      <w:r w:rsidRPr="00312F0E">
        <w:rPr>
          <w:rFonts w:asciiTheme="majorHAnsi" w:hAnsiTheme="majorHAnsi"/>
          <w:b/>
          <w:color w:val="003300"/>
          <w:sz w:val="32"/>
          <w:szCs w:val="28"/>
        </w:rPr>
        <w:t xml:space="preserve"> </w:t>
      </w:r>
    </w:p>
    <w:p w14:paraId="52E9BCB7" w14:textId="3C108990" w:rsidR="005D3DF7" w:rsidRPr="00EE35F4" w:rsidRDefault="005D3DF7" w:rsidP="005D3DF7">
      <w:pPr>
        <w:spacing w:before="240" w:after="120"/>
        <w:ind w:firstLine="0"/>
        <w:rPr>
          <w:rFonts w:asciiTheme="majorHAnsi" w:hAnsiTheme="majorHAnsi"/>
        </w:rPr>
      </w:pPr>
      <w:r w:rsidRPr="00EE35F4">
        <w:rPr>
          <w:rFonts w:asciiTheme="majorHAnsi" w:hAnsiTheme="majorHAnsi"/>
        </w:rPr>
        <w:t>This appendix presents several existing documents that provide the basis for this proposal. These documents include</w:t>
      </w:r>
      <w:r w:rsidR="002150FE">
        <w:rPr>
          <w:rFonts w:asciiTheme="majorHAnsi" w:hAnsiTheme="majorHAnsi"/>
        </w:rPr>
        <w:t>:</w:t>
      </w:r>
    </w:p>
    <w:p w14:paraId="6BF98BCC" w14:textId="77777777" w:rsidR="005D3DF7" w:rsidRPr="002150FE" w:rsidRDefault="005D3DF7" w:rsidP="005D3DF7">
      <w:pPr>
        <w:numPr>
          <w:ilvl w:val="0"/>
          <w:numId w:val="10"/>
        </w:numPr>
        <w:spacing w:before="240" w:after="120"/>
        <w:ind w:hanging="360"/>
        <w:rPr>
          <w:rFonts w:asciiTheme="majorHAnsi" w:hAnsiTheme="majorHAnsi"/>
          <w:color w:val="003300"/>
          <w:sz w:val="24"/>
        </w:rPr>
      </w:pPr>
      <w:r w:rsidRPr="002150FE">
        <w:rPr>
          <w:rFonts w:asciiTheme="majorHAnsi" w:hAnsiTheme="majorHAnsi"/>
          <w:color w:val="003300"/>
          <w:sz w:val="24"/>
        </w:rPr>
        <w:t>Colorado State University’s Mission Statement</w:t>
      </w:r>
    </w:p>
    <w:p w14:paraId="5F7510B6" w14:textId="77777777" w:rsidR="005D3DF7" w:rsidRPr="002150FE" w:rsidRDefault="005D3DF7" w:rsidP="005D3DF7">
      <w:pPr>
        <w:numPr>
          <w:ilvl w:val="0"/>
          <w:numId w:val="10"/>
        </w:numPr>
        <w:spacing w:before="240" w:after="120"/>
        <w:ind w:hanging="360"/>
        <w:rPr>
          <w:rFonts w:asciiTheme="majorHAnsi" w:hAnsiTheme="majorHAnsi"/>
          <w:color w:val="003300"/>
          <w:sz w:val="24"/>
        </w:rPr>
      </w:pPr>
      <w:r w:rsidRPr="002150FE">
        <w:rPr>
          <w:rFonts w:asciiTheme="majorHAnsi" w:hAnsiTheme="majorHAnsi"/>
          <w:color w:val="003300"/>
          <w:sz w:val="24"/>
        </w:rPr>
        <w:t>President Frank’s 2013 Fall Address</w:t>
      </w:r>
    </w:p>
    <w:p w14:paraId="290EFCD8" w14:textId="77777777" w:rsidR="005D3DF7" w:rsidRPr="002150FE" w:rsidRDefault="005D3DF7" w:rsidP="005D3DF7">
      <w:pPr>
        <w:numPr>
          <w:ilvl w:val="0"/>
          <w:numId w:val="10"/>
        </w:numPr>
        <w:spacing w:before="240" w:after="120"/>
        <w:ind w:hanging="360"/>
        <w:rPr>
          <w:rFonts w:asciiTheme="majorHAnsi" w:hAnsiTheme="majorHAnsi"/>
          <w:color w:val="003300"/>
          <w:sz w:val="24"/>
        </w:rPr>
      </w:pPr>
      <w:r w:rsidRPr="002150FE">
        <w:rPr>
          <w:rFonts w:asciiTheme="majorHAnsi" w:hAnsiTheme="majorHAnsi"/>
          <w:color w:val="003300"/>
          <w:sz w:val="24"/>
        </w:rPr>
        <w:t>President Frank’s 2015 Non-Tenure-Track Reception</w:t>
      </w:r>
    </w:p>
    <w:p w14:paraId="3F06C56F" w14:textId="77777777" w:rsidR="005D3DF7" w:rsidRPr="002150FE" w:rsidRDefault="005D3DF7" w:rsidP="005D3DF7">
      <w:pPr>
        <w:numPr>
          <w:ilvl w:val="0"/>
          <w:numId w:val="10"/>
        </w:numPr>
        <w:spacing w:before="240" w:after="120"/>
        <w:ind w:hanging="360"/>
        <w:rPr>
          <w:rFonts w:asciiTheme="majorHAnsi" w:hAnsiTheme="majorHAnsi"/>
          <w:color w:val="003300"/>
          <w:sz w:val="24"/>
        </w:rPr>
      </w:pPr>
      <w:r w:rsidRPr="002150FE">
        <w:rPr>
          <w:rFonts w:asciiTheme="majorHAnsi" w:hAnsiTheme="majorHAnsi"/>
          <w:color w:val="003300"/>
          <w:sz w:val="24"/>
        </w:rPr>
        <w:t>CSU’s Strategic Plan</w:t>
      </w:r>
    </w:p>
    <w:p w14:paraId="01D0FA6F" w14:textId="77777777" w:rsidR="005D3DF7" w:rsidRPr="002150FE" w:rsidRDefault="005D3DF7" w:rsidP="005D3DF7">
      <w:pPr>
        <w:numPr>
          <w:ilvl w:val="0"/>
          <w:numId w:val="10"/>
        </w:numPr>
        <w:spacing w:before="240" w:after="120"/>
        <w:ind w:hanging="360"/>
        <w:rPr>
          <w:rFonts w:asciiTheme="majorHAnsi" w:hAnsiTheme="majorHAnsi"/>
          <w:color w:val="003300"/>
          <w:sz w:val="24"/>
        </w:rPr>
      </w:pPr>
      <w:r w:rsidRPr="002150FE">
        <w:rPr>
          <w:rFonts w:asciiTheme="majorHAnsi" w:hAnsiTheme="majorHAnsi"/>
          <w:color w:val="003300"/>
          <w:sz w:val="24"/>
        </w:rPr>
        <w:t>CSU’s Commitment to Student Success</w:t>
      </w:r>
    </w:p>
    <w:p w14:paraId="49243643" w14:textId="77777777" w:rsidR="005D3DF7" w:rsidRPr="002150FE" w:rsidRDefault="005D3DF7" w:rsidP="005D3DF7">
      <w:pPr>
        <w:numPr>
          <w:ilvl w:val="0"/>
          <w:numId w:val="10"/>
        </w:numPr>
        <w:spacing w:before="240" w:after="120"/>
        <w:ind w:hanging="360"/>
        <w:rPr>
          <w:rFonts w:asciiTheme="majorHAnsi" w:hAnsiTheme="majorHAnsi"/>
          <w:color w:val="003300"/>
          <w:sz w:val="24"/>
        </w:rPr>
      </w:pPr>
      <w:r w:rsidRPr="002150FE">
        <w:rPr>
          <w:rFonts w:asciiTheme="majorHAnsi" w:hAnsiTheme="majorHAnsi"/>
          <w:color w:val="003300"/>
          <w:sz w:val="24"/>
        </w:rPr>
        <w:t>the charges and missions of the President’s Commission on Women and Gender Equity and the Standing Committee on the Status of Women Faculty</w:t>
      </w:r>
    </w:p>
    <w:p w14:paraId="0D427C31" w14:textId="77777777" w:rsidR="005D3DF7" w:rsidRPr="002150FE" w:rsidRDefault="005D3DF7" w:rsidP="005D3DF7">
      <w:pPr>
        <w:numPr>
          <w:ilvl w:val="0"/>
          <w:numId w:val="10"/>
        </w:numPr>
        <w:spacing w:before="240" w:after="120"/>
        <w:ind w:hanging="360"/>
        <w:rPr>
          <w:rFonts w:asciiTheme="majorHAnsi" w:hAnsiTheme="majorHAnsi"/>
          <w:color w:val="003300"/>
          <w:sz w:val="24"/>
        </w:rPr>
      </w:pPr>
      <w:r w:rsidRPr="002150FE">
        <w:rPr>
          <w:rFonts w:asciiTheme="majorHAnsi" w:hAnsiTheme="majorHAnsi"/>
          <w:color w:val="003300"/>
          <w:sz w:val="24"/>
        </w:rPr>
        <w:t>the mission of the Center for Academic Labor</w:t>
      </w:r>
    </w:p>
    <w:p w14:paraId="4AA311BB" w14:textId="77777777" w:rsidR="005D3DF7" w:rsidRPr="002150FE" w:rsidRDefault="005D3DF7" w:rsidP="005D3DF7">
      <w:pPr>
        <w:numPr>
          <w:ilvl w:val="0"/>
          <w:numId w:val="10"/>
        </w:numPr>
        <w:spacing w:before="240" w:after="120"/>
        <w:ind w:hanging="360"/>
        <w:rPr>
          <w:rFonts w:asciiTheme="majorHAnsi" w:hAnsiTheme="majorHAnsi"/>
          <w:color w:val="003300"/>
          <w:sz w:val="24"/>
        </w:rPr>
      </w:pPr>
      <w:r w:rsidRPr="002150FE">
        <w:rPr>
          <w:rFonts w:asciiTheme="majorHAnsi" w:hAnsiTheme="majorHAnsi"/>
          <w:color w:val="003300"/>
          <w:sz w:val="24"/>
        </w:rPr>
        <w:t>CSU’s Principles of Community</w:t>
      </w:r>
    </w:p>
    <w:p w14:paraId="6CEC1A08" w14:textId="77777777" w:rsidR="005D3DF7" w:rsidRPr="002150FE" w:rsidRDefault="005D3DF7" w:rsidP="005D3DF7">
      <w:pPr>
        <w:numPr>
          <w:ilvl w:val="0"/>
          <w:numId w:val="10"/>
        </w:numPr>
        <w:spacing w:before="240" w:after="120"/>
        <w:ind w:hanging="360"/>
        <w:rPr>
          <w:rFonts w:asciiTheme="majorHAnsi" w:hAnsiTheme="majorHAnsi"/>
          <w:color w:val="003300"/>
          <w:sz w:val="24"/>
        </w:rPr>
      </w:pPr>
      <w:r w:rsidRPr="002150FE">
        <w:rPr>
          <w:rFonts w:asciiTheme="majorHAnsi" w:hAnsiTheme="majorHAnsi"/>
          <w:color w:val="003300"/>
          <w:sz w:val="24"/>
        </w:rPr>
        <w:t>the goal of the Reinvention Center</w:t>
      </w:r>
    </w:p>
    <w:p w14:paraId="38AFA2B6" w14:textId="77777777" w:rsidR="005D3DF7" w:rsidRPr="002150FE" w:rsidRDefault="005D3DF7" w:rsidP="005D3DF7">
      <w:pPr>
        <w:numPr>
          <w:ilvl w:val="0"/>
          <w:numId w:val="10"/>
        </w:numPr>
        <w:spacing w:before="240" w:after="120"/>
        <w:ind w:hanging="360"/>
        <w:rPr>
          <w:rFonts w:asciiTheme="majorHAnsi" w:hAnsiTheme="majorHAnsi"/>
          <w:color w:val="003300"/>
          <w:sz w:val="24"/>
        </w:rPr>
      </w:pPr>
      <w:r w:rsidRPr="002150FE">
        <w:rPr>
          <w:rFonts w:asciiTheme="majorHAnsi" w:hAnsiTheme="majorHAnsi"/>
          <w:color w:val="003300"/>
          <w:sz w:val="24"/>
        </w:rPr>
        <w:t>CSAL’s Contingent Faculty Report December 2015</w:t>
      </w:r>
    </w:p>
    <w:p w14:paraId="4501F90F" w14:textId="77777777" w:rsidR="005D3DF7" w:rsidRPr="002150FE" w:rsidRDefault="005D3DF7" w:rsidP="005D3DF7">
      <w:pPr>
        <w:numPr>
          <w:ilvl w:val="0"/>
          <w:numId w:val="10"/>
        </w:numPr>
        <w:spacing w:before="240" w:after="120"/>
        <w:ind w:hanging="360"/>
        <w:rPr>
          <w:rFonts w:asciiTheme="majorHAnsi" w:hAnsiTheme="majorHAnsi"/>
          <w:color w:val="003300"/>
          <w:sz w:val="24"/>
        </w:rPr>
      </w:pPr>
      <w:r w:rsidRPr="002150FE">
        <w:rPr>
          <w:rFonts w:asciiTheme="majorHAnsi" w:hAnsiTheme="majorHAnsi"/>
          <w:color w:val="003300"/>
          <w:sz w:val="24"/>
        </w:rPr>
        <w:t>Provost’s Task Force Report of the Survey of Contingent Faculty at Colorado State University – 2009.</w:t>
      </w:r>
    </w:p>
    <w:p w14:paraId="77BC7F39"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Each of these statements, missions, and groups describe Colorado State University (CSU) as an institution committed to supporting teaching and faculty and in and of themselves provide necessary rationale and context for this proposal from the Committee on Non-Tenure-Track Faculty (CoNTTF) to transform non-tenure-track faculty (NTTF) appointments.</w:t>
      </w:r>
    </w:p>
    <w:p w14:paraId="13D9C308" w14:textId="77777777" w:rsidR="005D3DF7" w:rsidRPr="00A35502" w:rsidRDefault="005D3DF7" w:rsidP="002150FE">
      <w:pPr>
        <w:pStyle w:val="Heading3"/>
        <w:spacing w:before="360"/>
        <w:rPr>
          <w:color w:val="003300"/>
          <w:szCs w:val="22"/>
        </w:rPr>
      </w:pPr>
      <w:r w:rsidRPr="00A35502">
        <w:rPr>
          <w:color w:val="003300"/>
          <w:szCs w:val="22"/>
        </w:rPr>
        <w:t>1. The University’s Mission Statement</w:t>
      </w:r>
    </w:p>
    <w:p w14:paraId="241BBA29" w14:textId="77777777" w:rsidR="005D3DF7" w:rsidRPr="00EE35F4" w:rsidRDefault="005D3DF7" w:rsidP="005D3DF7">
      <w:pPr>
        <w:spacing w:before="240" w:after="120"/>
        <w:ind w:left="720" w:firstLine="0"/>
        <w:rPr>
          <w:rFonts w:asciiTheme="majorHAnsi" w:hAnsiTheme="majorHAnsi"/>
        </w:rPr>
      </w:pPr>
      <w:r w:rsidRPr="00EE35F4">
        <w:rPr>
          <w:rFonts w:asciiTheme="majorHAnsi" w:hAnsiTheme="majorHAnsi"/>
        </w:rPr>
        <w:t xml:space="preserve">The Mission of CSU is foundational is setting the course for the objectives of CoNTTF’s proposal; as the committee believes in bringing forth the next evolution of land-grant education by ensuring excellence in all areas of education, outreach, service, and research. </w:t>
      </w:r>
    </w:p>
    <w:p w14:paraId="56C18FD5" w14:textId="77777777" w:rsidR="005D3DF7" w:rsidRPr="00A35502" w:rsidRDefault="005D3DF7" w:rsidP="005D3DF7">
      <w:pPr>
        <w:pStyle w:val="Heading5"/>
        <w:spacing w:before="240" w:after="120"/>
        <w:ind w:left="720" w:firstLine="720"/>
        <w:rPr>
          <w:rFonts w:asciiTheme="majorHAnsi" w:hAnsiTheme="majorHAnsi"/>
          <w:color w:val="003300"/>
        </w:rPr>
      </w:pPr>
      <w:r w:rsidRPr="00A35502">
        <w:rPr>
          <w:rFonts w:asciiTheme="majorHAnsi" w:hAnsiTheme="majorHAnsi"/>
          <w:color w:val="003300"/>
        </w:rPr>
        <w:t>The Mission of Colorado State University:</w:t>
      </w:r>
    </w:p>
    <w:p w14:paraId="5AB7CF85" w14:textId="77777777" w:rsidR="005D3DF7" w:rsidRPr="00EE35F4" w:rsidRDefault="005D3DF7" w:rsidP="005D3DF7">
      <w:pPr>
        <w:spacing w:before="240" w:after="120"/>
        <w:ind w:left="2160" w:firstLine="0"/>
        <w:rPr>
          <w:rFonts w:asciiTheme="majorHAnsi" w:hAnsiTheme="majorHAnsi"/>
        </w:rPr>
      </w:pPr>
      <w:r w:rsidRPr="00EE35F4">
        <w:rPr>
          <w:rFonts w:asciiTheme="majorHAnsi" w:hAnsiTheme="majorHAnsi"/>
        </w:rPr>
        <w:t>Inspired by its land-grant heritage, CSU is committed to excellence, setting the standard for public research universities in teaching, research, service and extension for the benefit of the citizens of Colorado, the United States and the world.</w:t>
      </w:r>
    </w:p>
    <w:p w14:paraId="58A105CB" w14:textId="77777777" w:rsidR="005D3DF7" w:rsidRPr="00EE35F4" w:rsidRDefault="005D3DF7" w:rsidP="005D3DF7">
      <w:pPr>
        <w:spacing w:before="240" w:after="120"/>
        <w:rPr>
          <w:rFonts w:asciiTheme="majorHAnsi" w:hAnsiTheme="majorHAnsi"/>
        </w:rPr>
      </w:pPr>
    </w:p>
    <w:p w14:paraId="34682CD7" w14:textId="77777777" w:rsidR="005D3DF7" w:rsidRPr="00A35502" w:rsidRDefault="005D3DF7" w:rsidP="005D3DF7">
      <w:pPr>
        <w:pStyle w:val="Heading3"/>
        <w:rPr>
          <w:color w:val="003300"/>
          <w:szCs w:val="22"/>
        </w:rPr>
      </w:pPr>
      <w:r w:rsidRPr="00A35502">
        <w:rPr>
          <w:color w:val="003300"/>
          <w:szCs w:val="22"/>
        </w:rPr>
        <w:lastRenderedPageBreak/>
        <w:t>2. President Frank’s 2013 Fall Address – Charge to the Provost and Faculty</w:t>
      </w:r>
    </w:p>
    <w:p w14:paraId="1B8D03C2" w14:textId="77777777" w:rsidR="005D3DF7" w:rsidRPr="00EE35F4" w:rsidRDefault="005D3DF7" w:rsidP="005D3DF7">
      <w:pPr>
        <w:spacing w:before="240" w:after="120"/>
        <w:ind w:left="360" w:firstLine="720"/>
        <w:rPr>
          <w:rFonts w:asciiTheme="majorHAnsi" w:hAnsiTheme="majorHAnsi"/>
        </w:rPr>
      </w:pPr>
      <w:r w:rsidRPr="00EE35F4">
        <w:rPr>
          <w:rFonts w:asciiTheme="majorHAnsi" w:hAnsiTheme="majorHAnsi"/>
        </w:rPr>
        <w:t>An exceptional cadre of adjunct faculty</w:t>
      </w:r>
    </w:p>
    <w:p w14:paraId="0BD5E02D" w14:textId="77777777" w:rsidR="005D3DF7" w:rsidRPr="00EE35F4" w:rsidRDefault="005D3DF7" w:rsidP="005D3DF7">
      <w:pPr>
        <w:spacing w:before="240" w:after="120"/>
        <w:ind w:left="1080" w:firstLine="0"/>
        <w:rPr>
          <w:rFonts w:asciiTheme="majorHAnsi" w:hAnsiTheme="majorHAnsi"/>
        </w:rPr>
      </w:pPr>
      <w:r w:rsidRPr="00EE35F4">
        <w:rPr>
          <w:rFonts w:asciiTheme="majorHAnsi" w:hAnsiTheme="majorHAnsi"/>
        </w:rPr>
        <w:t>“Like all universities, Colorado State is fortunate to have an exceptional cadre of adjunct faculty – highly qualified women and men who bring a wealth of insight and experience to our classrooms, and allow us to provide the courses and curriculum essential to meeting student demand. And they want what all of us want from our employers: some job security, decent pay and benefits, opportunities for advancement, and above all else, respect.”</w:t>
      </w:r>
    </w:p>
    <w:p w14:paraId="2705E8C1" w14:textId="77777777" w:rsidR="005D3DF7" w:rsidRPr="00EE35F4" w:rsidRDefault="005D3DF7" w:rsidP="005D3DF7">
      <w:pPr>
        <w:spacing w:before="240" w:after="120"/>
        <w:ind w:left="1080" w:firstLine="0"/>
        <w:rPr>
          <w:rFonts w:asciiTheme="majorHAnsi" w:hAnsiTheme="majorHAnsi"/>
        </w:rPr>
      </w:pPr>
      <w:r w:rsidRPr="00EE35F4">
        <w:rPr>
          <w:rFonts w:asciiTheme="majorHAnsi" w:hAnsiTheme="majorHAnsi"/>
        </w:rPr>
        <w:t>The university already has made significant strides in supporting adjunct faculty in the last couple of years, such as supporting a legislative bill that allows the university to offer multi-year contracts to non-tenured teaching and research faculty, and creating a new committee on campus that represents non-tenure-track faculty, Frank said, but more could be done.</w:t>
      </w:r>
    </w:p>
    <w:p w14:paraId="28BEF5C1" w14:textId="77777777" w:rsidR="005D3DF7" w:rsidRPr="00EE35F4" w:rsidRDefault="005D3DF7" w:rsidP="005D3DF7">
      <w:pPr>
        <w:spacing w:before="240" w:after="120"/>
        <w:ind w:left="1080" w:firstLine="0"/>
        <w:rPr>
          <w:rFonts w:asciiTheme="majorHAnsi" w:hAnsiTheme="majorHAnsi"/>
        </w:rPr>
      </w:pPr>
      <w:r w:rsidRPr="00EE35F4">
        <w:rPr>
          <w:rFonts w:asciiTheme="majorHAnsi" w:hAnsiTheme="majorHAnsi"/>
        </w:rPr>
        <w:t>“We have ambitious goals for our academic programs at Colorado State, and they cannot be achieved without the full engagement of our adjunct faculty. So in the coming year, I’d like to challenge Provost Miranda and our faculty to take our focus on adjuncts to the next level and continue to make improvements in these core areas,” he said.</w:t>
      </w:r>
    </w:p>
    <w:p w14:paraId="6B580AC4" w14:textId="77777777" w:rsidR="005D3DF7" w:rsidRPr="00EE35F4" w:rsidRDefault="005D3DF7" w:rsidP="00A35502">
      <w:pPr>
        <w:pStyle w:val="Heading3"/>
        <w:spacing w:before="360"/>
        <w:rPr>
          <w:szCs w:val="22"/>
        </w:rPr>
      </w:pPr>
      <w:r w:rsidRPr="00A35502">
        <w:rPr>
          <w:color w:val="003300"/>
          <w:szCs w:val="22"/>
        </w:rPr>
        <w:t>3. President Frank’s 2015 Address at the Reception for NTTF</w:t>
      </w:r>
    </w:p>
    <w:p w14:paraId="2BA1EFE0" w14:textId="77777777" w:rsidR="005D3DF7" w:rsidRPr="00EE35F4" w:rsidRDefault="005D3DF7" w:rsidP="00B55FC2">
      <w:pPr>
        <w:numPr>
          <w:ilvl w:val="0"/>
          <w:numId w:val="21"/>
        </w:numPr>
        <w:spacing w:before="240" w:after="120"/>
        <w:ind w:hanging="360"/>
        <w:rPr>
          <w:rFonts w:asciiTheme="majorHAnsi" w:hAnsiTheme="majorHAnsi"/>
        </w:rPr>
      </w:pPr>
      <w:bookmarkStart w:id="34" w:name="h.qsh70q" w:colFirst="0" w:colLast="0"/>
      <w:bookmarkEnd w:id="34"/>
      <w:r w:rsidRPr="00EE35F4">
        <w:rPr>
          <w:rFonts w:asciiTheme="majorHAnsi" w:hAnsiTheme="majorHAnsi"/>
        </w:rPr>
        <w:t xml:space="preserve">President Frank said that the FY 17 budget will not be </w:t>
      </w:r>
      <w:r w:rsidRPr="00EE35F4">
        <w:rPr>
          <w:rFonts w:asciiTheme="majorHAnsi" w:hAnsiTheme="majorHAnsi"/>
          <w:i/>
        </w:rPr>
        <w:t>“balanced on the backs of non-tenure-track faculty”.</w:t>
      </w:r>
    </w:p>
    <w:p w14:paraId="7E7C22C9" w14:textId="77777777" w:rsidR="005D3DF7" w:rsidRPr="00EE35F4" w:rsidRDefault="005D3DF7" w:rsidP="00B55FC2">
      <w:pPr>
        <w:numPr>
          <w:ilvl w:val="0"/>
          <w:numId w:val="21"/>
        </w:numPr>
        <w:spacing w:before="240" w:after="120"/>
        <w:ind w:hanging="360"/>
        <w:rPr>
          <w:rFonts w:asciiTheme="majorHAnsi" w:hAnsiTheme="majorHAnsi"/>
        </w:rPr>
      </w:pPr>
      <w:r w:rsidRPr="00EE35F4">
        <w:rPr>
          <w:rFonts w:asciiTheme="majorHAnsi" w:hAnsiTheme="majorHAnsi"/>
        </w:rPr>
        <w:t>President Frank praised the work of CoNTTF, the Faculty Council, Dr. Mary Stromberger, Provost Miranda, and Vice Provost Bush in advancing the policies related to NTTF over the past several years. He cited several changes. Then, he said that he “has yet to see a proposal that makes him gulp”. President Frank stated that more must be done.</w:t>
      </w:r>
    </w:p>
    <w:p w14:paraId="34AD9D13" w14:textId="77777777" w:rsidR="005D3DF7" w:rsidRPr="00A35502" w:rsidRDefault="005D3DF7" w:rsidP="00A35502">
      <w:pPr>
        <w:pStyle w:val="Heading3"/>
        <w:spacing w:before="360"/>
        <w:rPr>
          <w:color w:val="003300"/>
          <w:szCs w:val="22"/>
        </w:rPr>
      </w:pPr>
      <w:r w:rsidRPr="00A35502">
        <w:rPr>
          <w:color w:val="003300"/>
          <w:szCs w:val="22"/>
        </w:rPr>
        <w:t xml:space="preserve">4. CSU’s Strategic Plan relevant to Faculty </w:t>
      </w:r>
    </w:p>
    <w:p w14:paraId="036FC08A" w14:textId="77777777" w:rsidR="005D3DF7" w:rsidRPr="00A35502" w:rsidRDefault="005D3DF7" w:rsidP="00D9344A">
      <w:pPr>
        <w:pStyle w:val="Heading4"/>
        <w:spacing w:before="240" w:after="120"/>
        <w:ind w:firstLine="360"/>
        <w:rPr>
          <w:rFonts w:asciiTheme="majorHAnsi" w:hAnsiTheme="majorHAnsi"/>
          <w:color w:val="003300"/>
        </w:rPr>
      </w:pPr>
      <w:r w:rsidRPr="00A35502">
        <w:rPr>
          <w:rFonts w:asciiTheme="majorHAnsi" w:hAnsiTheme="majorHAnsi"/>
          <w:color w:val="003300"/>
        </w:rPr>
        <w:t>Strategic Planning Area 1: Teaching and Learning</w:t>
      </w:r>
    </w:p>
    <w:p w14:paraId="713A316A" w14:textId="77777777" w:rsidR="005D3DF7" w:rsidRPr="00EE35F4" w:rsidRDefault="005D3DF7" w:rsidP="002150FE">
      <w:pPr>
        <w:spacing w:before="120" w:after="120"/>
        <w:ind w:left="360"/>
        <w:rPr>
          <w:rFonts w:asciiTheme="majorHAnsi" w:hAnsiTheme="majorHAnsi"/>
        </w:rPr>
      </w:pPr>
      <w:r w:rsidRPr="00EE35F4">
        <w:rPr>
          <w:rFonts w:asciiTheme="majorHAnsi" w:hAnsiTheme="majorHAnsi"/>
        </w:rPr>
        <w:t>Under Teaching and Learning, the strategic plan highlights</w:t>
      </w:r>
    </w:p>
    <w:p w14:paraId="6086B40E" w14:textId="77777777" w:rsidR="005D3DF7" w:rsidRPr="004C7E34" w:rsidRDefault="005D3DF7" w:rsidP="001B0696">
      <w:pPr>
        <w:pStyle w:val="ListParagraph"/>
        <w:numPr>
          <w:ilvl w:val="0"/>
          <w:numId w:val="55"/>
        </w:numPr>
        <w:tabs>
          <w:tab w:val="left" w:pos="1800"/>
        </w:tabs>
        <w:spacing w:before="120" w:after="120"/>
        <w:contextualSpacing w:val="0"/>
        <w:rPr>
          <w:rFonts w:asciiTheme="majorHAnsi" w:hAnsiTheme="majorHAnsi"/>
        </w:rPr>
      </w:pPr>
      <w:r w:rsidRPr="004C7E34">
        <w:rPr>
          <w:rFonts w:asciiTheme="majorHAnsi" w:hAnsiTheme="majorHAnsi"/>
        </w:rPr>
        <w:t>The importance of establishing programs and mechanisms to retain faculty and staff</w:t>
      </w:r>
    </w:p>
    <w:p w14:paraId="2AB6635D" w14:textId="48B4C9E5" w:rsidR="005D3DF7" w:rsidRPr="004C7E34" w:rsidRDefault="005D3DF7" w:rsidP="001B0696">
      <w:pPr>
        <w:pStyle w:val="ListParagraph"/>
        <w:numPr>
          <w:ilvl w:val="0"/>
          <w:numId w:val="55"/>
        </w:numPr>
        <w:tabs>
          <w:tab w:val="left" w:pos="1800"/>
        </w:tabs>
        <w:spacing w:before="120" w:after="120"/>
        <w:contextualSpacing w:val="0"/>
        <w:rPr>
          <w:rFonts w:asciiTheme="majorHAnsi" w:hAnsiTheme="majorHAnsi"/>
        </w:rPr>
      </w:pPr>
      <w:r w:rsidRPr="004C7E34">
        <w:rPr>
          <w:rFonts w:asciiTheme="majorHAnsi" w:hAnsiTheme="majorHAnsi"/>
        </w:rPr>
        <w:t>Improve student retention across all student groups</w:t>
      </w:r>
    </w:p>
    <w:p w14:paraId="320EBE4D" w14:textId="77777777" w:rsidR="005D3DF7" w:rsidRPr="004C7E34" w:rsidRDefault="005D3DF7" w:rsidP="001B0696">
      <w:pPr>
        <w:pStyle w:val="ListParagraph"/>
        <w:numPr>
          <w:ilvl w:val="0"/>
          <w:numId w:val="55"/>
        </w:numPr>
        <w:tabs>
          <w:tab w:val="left" w:pos="1800"/>
        </w:tabs>
        <w:spacing w:before="120" w:after="120"/>
        <w:contextualSpacing w:val="0"/>
        <w:rPr>
          <w:rFonts w:asciiTheme="majorHAnsi" w:hAnsiTheme="majorHAnsi"/>
        </w:rPr>
      </w:pPr>
      <w:r w:rsidRPr="004C7E34">
        <w:rPr>
          <w:rFonts w:asciiTheme="majorHAnsi" w:hAnsiTheme="majorHAnsi"/>
        </w:rPr>
        <w:t>The need to provide and allocate funding for the development and assessment of best practices in teaching</w:t>
      </w:r>
    </w:p>
    <w:p w14:paraId="7AA76FCD" w14:textId="77777777" w:rsidR="005D3DF7" w:rsidRPr="004C7E34" w:rsidRDefault="005D3DF7" w:rsidP="001B0696">
      <w:pPr>
        <w:pStyle w:val="ListParagraph"/>
        <w:numPr>
          <w:ilvl w:val="0"/>
          <w:numId w:val="55"/>
        </w:numPr>
        <w:tabs>
          <w:tab w:val="left" w:pos="1800"/>
        </w:tabs>
        <w:spacing w:before="120" w:after="120"/>
        <w:contextualSpacing w:val="0"/>
        <w:rPr>
          <w:rFonts w:asciiTheme="majorHAnsi" w:hAnsiTheme="majorHAnsi"/>
        </w:rPr>
      </w:pPr>
      <w:r w:rsidRPr="004C7E34">
        <w:rPr>
          <w:rFonts w:asciiTheme="majorHAnsi" w:hAnsiTheme="majorHAnsi"/>
        </w:rPr>
        <w:t>The need to incentivize instructors to improve on, and learn about active and experiential learning strategies</w:t>
      </w:r>
    </w:p>
    <w:p w14:paraId="510FEF7B" w14:textId="77777777" w:rsidR="002150FE" w:rsidRDefault="002150FE">
      <w:pPr>
        <w:spacing w:after="200" w:line="276" w:lineRule="auto"/>
        <w:ind w:firstLine="0"/>
        <w:rPr>
          <w:rFonts w:asciiTheme="majorHAnsi" w:hAnsiTheme="majorHAnsi"/>
          <w:i/>
          <w:color w:val="003300"/>
          <w:sz w:val="24"/>
        </w:rPr>
      </w:pPr>
      <w:r>
        <w:rPr>
          <w:rFonts w:asciiTheme="majorHAnsi" w:hAnsiTheme="majorHAnsi"/>
          <w:color w:val="003300"/>
        </w:rPr>
        <w:br w:type="page"/>
      </w:r>
    </w:p>
    <w:p w14:paraId="047917E4" w14:textId="28E0BF19" w:rsidR="005D3DF7" w:rsidRPr="00A35502" w:rsidRDefault="005D3DF7" w:rsidP="00A35502">
      <w:pPr>
        <w:pStyle w:val="Heading4"/>
        <w:spacing w:before="360" w:after="120"/>
        <w:ind w:left="630" w:hanging="270"/>
        <w:rPr>
          <w:rFonts w:asciiTheme="majorHAnsi" w:hAnsiTheme="majorHAnsi"/>
          <w:color w:val="003300"/>
          <w:szCs w:val="22"/>
        </w:rPr>
      </w:pPr>
      <w:r w:rsidRPr="00A35502">
        <w:rPr>
          <w:rFonts w:asciiTheme="majorHAnsi" w:hAnsiTheme="majorHAnsi"/>
          <w:color w:val="003300"/>
          <w:szCs w:val="22"/>
        </w:rPr>
        <w:lastRenderedPageBreak/>
        <w:t>Strategic Planning Area 3: Outreach and Engagement</w:t>
      </w:r>
    </w:p>
    <w:p w14:paraId="34964897" w14:textId="77777777" w:rsidR="005D3DF7" w:rsidRPr="00EE35F4" w:rsidRDefault="005D3DF7" w:rsidP="002150FE">
      <w:pPr>
        <w:spacing w:before="120" w:after="120"/>
        <w:ind w:left="990" w:hanging="270"/>
        <w:rPr>
          <w:rFonts w:asciiTheme="majorHAnsi" w:hAnsiTheme="majorHAnsi"/>
        </w:rPr>
      </w:pPr>
      <w:r w:rsidRPr="00EE35F4">
        <w:rPr>
          <w:rFonts w:asciiTheme="majorHAnsi" w:hAnsiTheme="majorHAnsi"/>
        </w:rPr>
        <w:t>Under Outreach and Engagement, the strategic plan highlights</w:t>
      </w:r>
    </w:p>
    <w:p w14:paraId="046B9CA1" w14:textId="77777777" w:rsidR="005D3DF7" w:rsidRPr="004C7E34" w:rsidRDefault="005D3DF7" w:rsidP="001B0696">
      <w:pPr>
        <w:pStyle w:val="ListParagraph"/>
        <w:numPr>
          <w:ilvl w:val="0"/>
          <w:numId w:val="56"/>
        </w:numPr>
        <w:spacing w:before="120" w:after="120"/>
        <w:ind w:left="1440"/>
        <w:contextualSpacing w:val="0"/>
        <w:rPr>
          <w:rFonts w:asciiTheme="majorHAnsi" w:hAnsiTheme="majorHAnsi"/>
        </w:rPr>
      </w:pPr>
      <w:r w:rsidRPr="004C7E34">
        <w:rPr>
          <w:rFonts w:asciiTheme="majorHAnsi" w:hAnsiTheme="majorHAnsi"/>
        </w:rPr>
        <w:t>The importance of partnerships between DCE, CSU Extension and the colleges to develop and deliver programs, courses, and educational experiences face-to-face and online for youth, non-traditional students, working professionals, alumni, business and industry, and other groups. This is as part of CSU’s commitment to economic development, organizational excellence, and professional development, being an important part of the extension and service of a model 21st-century land-grant institution.</w:t>
      </w:r>
    </w:p>
    <w:p w14:paraId="2F6482D0" w14:textId="77777777" w:rsidR="005D3DF7" w:rsidRPr="00A35502" w:rsidRDefault="005D3DF7" w:rsidP="00A35502">
      <w:pPr>
        <w:pStyle w:val="Heading4"/>
        <w:spacing w:before="360" w:after="120"/>
        <w:ind w:left="720" w:hanging="360"/>
        <w:rPr>
          <w:rFonts w:asciiTheme="majorHAnsi" w:hAnsiTheme="majorHAnsi"/>
          <w:color w:val="003300"/>
          <w:szCs w:val="22"/>
        </w:rPr>
      </w:pPr>
      <w:r w:rsidRPr="00A35502">
        <w:rPr>
          <w:rFonts w:asciiTheme="majorHAnsi" w:hAnsiTheme="majorHAnsi"/>
          <w:color w:val="003300"/>
          <w:szCs w:val="22"/>
        </w:rPr>
        <w:t>Strategic Planning Area 4: Resources and Support</w:t>
      </w:r>
    </w:p>
    <w:p w14:paraId="3DFB337D" w14:textId="77777777" w:rsidR="005D3DF7" w:rsidRPr="00EE35F4" w:rsidRDefault="005D3DF7" w:rsidP="002150FE">
      <w:pPr>
        <w:spacing w:before="120" w:after="120"/>
        <w:ind w:left="1080" w:hanging="360"/>
        <w:rPr>
          <w:rFonts w:asciiTheme="majorHAnsi" w:hAnsiTheme="majorHAnsi"/>
        </w:rPr>
      </w:pPr>
      <w:r w:rsidRPr="00EE35F4">
        <w:rPr>
          <w:rFonts w:asciiTheme="majorHAnsi" w:hAnsiTheme="majorHAnsi"/>
        </w:rPr>
        <w:t>Under Resources and Support, the strategic plan highlights</w:t>
      </w:r>
    </w:p>
    <w:p w14:paraId="68F318A7" w14:textId="77777777" w:rsidR="005D3DF7" w:rsidRPr="001B0696" w:rsidRDefault="005D3DF7" w:rsidP="001B0696">
      <w:pPr>
        <w:pStyle w:val="ListParagraph"/>
        <w:numPr>
          <w:ilvl w:val="0"/>
          <w:numId w:val="35"/>
        </w:numPr>
        <w:spacing w:before="120" w:after="120"/>
        <w:ind w:left="1440" w:hanging="360"/>
        <w:contextualSpacing w:val="0"/>
        <w:rPr>
          <w:rFonts w:asciiTheme="majorHAnsi" w:hAnsiTheme="majorHAnsi"/>
        </w:rPr>
      </w:pPr>
      <w:r w:rsidRPr="001B0696">
        <w:rPr>
          <w:rFonts w:asciiTheme="majorHAnsi" w:hAnsiTheme="majorHAnsi"/>
        </w:rPr>
        <w:t>The importance of creating and maintaining an exemplary workforce and ensuring that CSU is one of the best institutions to work for, nationwide, through such strategies as:</w:t>
      </w:r>
    </w:p>
    <w:p w14:paraId="51059B21" w14:textId="77777777" w:rsidR="005D3DF7" w:rsidRPr="001B0696" w:rsidRDefault="005D3DF7" w:rsidP="001B0696">
      <w:pPr>
        <w:pStyle w:val="ListParagraph"/>
        <w:numPr>
          <w:ilvl w:val="0"/>
          <w:numId w:val="57"/>
        </w:numPr>
        <w:spacing w:after="60"/>
        <w:ind w:left="2160" w:hanging="360"/>
        <w:contextualSpacing w:val="0"/>
        <w:rPr>
          <w:rFonts w:asciiTheme="majorHAnsi" w:hAnsiTheme="majorHAnsi"/>
        </w:rPr>
      </w:pPr>
      <w:r w:rsidRPr="001B0696">
        <w:rPr>
          <w:rFonts w:asciiTheme="majorHAnsi" w:hAnsiTheme="majorHAnsi"/>
        </w:rPr>
        <w:t>Improving university search processes</w:t>
      </w:r>
    </w:p>
    <w:p w14:paraId="5F1D205F" w14:textId="77777777" w:rsidR="005D3DF7" w:rsidRPr="001B0696" w:rsidRDefault="005D3DF7" w:rsidP="001B0696">
      <w:pPr>
        <w:pStyle w:val="ListParagraph"/>
        <w:numPr>
          <w:ilvl w:val="0"/>
          <w:numId w:val="57"/>
        </w:numPr>
        <w:spacing w:after="60"/>
        <w:ind w:left="2160" w:hanging="360"/>
        <w:contextualSpacing w:val="0"/>
        <w:rPr>
          <w:rFonts w:asciiTheme="majorHAnsi" w:hAnsiTheme="majorHAnsi"/>
        </w:rPr>
      </w:pPr>
      <w:r w:rsidRPr="001B0696">
        <w:rPr>
          <w:rFonts w:asciiTheme="majorHAnsi" w:hAnsiTheme="majorHAnsi"/>
        </w:rPr>
        <w:t>Developing long-term plans to ensure all employee compensation levels are equitable and competitive</w:t>
      </w:r>
    </w:p>
    <w:p w14:paraId="7B6FBF1D" w14:textId="77777777" w:rsidR="005D3DF7" w:rsidRPr="001B0696" w:rsidRDefault="005D3DF7" w:rsidP="001B0696">
      <w:pPr>
        <w:pStyle w:val="ListParagraph"/>
        <w:numPr>
          <w:ilvl w:val="0"/>
          <w:numId w:val="57"/>
        </w:numPr>
        <w:spacing w:after="60"/>
        <w:ind w:left="2160" w:hanging="360"/>
        <w:contextualSpacing w:val="0"/>
        <w:rPr>
          <w:rFonts w:asciiTheme="majorHAnsi" w:hAnsiTheme="majorHAnsi"/>
        </w:rPr>
      </w:pPr>
      <w:r w:rsidRPr="001B0696">
        <w:rPr>
          <w:rFonts w:asciiTheme="majorHAnsi" w:hAnsiTheme="majorHAnsi"/>
        </w:rPr>
        <w:t>Develop innovative opportunities for professional growth; access to training that creates and advances knowledge, skills, and competencies critical to individual and unit success.</w:t>
      </w:r>
    </w:p>
    <w:p w14:paraId="0903BD3D" w14:textId="77777777" w:rsidR="005D3DF7" w:rsidRPr="001B0696" w:rsidRDefault="005D3DF7" w:rsidP="001B0696">
      <w:pPr>
        <w:pStyle w:val="ListParagraph"/>
        <w:numPr>
          <w:ilvl w:val="1"/>
          <w:numId w:val="57"/>
        </w:numPr>
        <w:spacing w:before="120" w:after="120"/>
        <w:ind w:hanging="360"/>
        <w:contextualSpacing w:val="0"/>
        <w:rPr>
          <w:rFonts w:asciiTheme="majorHAnsi" w:hAnsiTheme="majorHAnsi"/>
        </w:rPr>
      </w:pPr>
      <w:r w:rsidRPr="001B0696">
        <w:rPr>
          <w:rFonts w:asciiTheme="majorHAnsi" w:hAnsiTheme="majorHAnsi"/>
        </w:rPr>
        <w:t>The importance of protecting and empowering faculty</w:t>
      </w:r>
    </w:p>
    <w:p w14:paraId="6F7F90D1" w14:textId="77777777" w:rsidR="005D3DF7" w:rsidRPr="00A35502" w:rsidRDefault="005D3DF7" w:rsidP="00A35502">
      <w:pPr>
        <w:pStyle w:val="Heading4"/>
        <w:spacing w:before="360" w:after="120"/>
        <w:ind w:left="720" w:hanging="360"/>
        <w:rPr>
          <w:rFonts w:asciiTheme="majorHAnsi" w:hAnsiTheme="majorHAnsi"/>
          <w:color w:val="003300"/>
          <w:szCs w:val="22"/>
        </w:rPr>
      </w:pPr>
      <w:r w:rsidRPr="00A35502">
        <w:rPr>
          <w:rFonts w:asciiTheme="majorHAnsi" w:hAnsiTheme="majorHAnsi"/>
          <w:color w:val="003300"/>
          <w:szCs w:val="22"/>
        </w:rPr>
        <w:t>Strategic Planning Area 5: Diversity</w:t>
      </w:r>
    </w:p>
    <w:p w14:paraId="0BE3A2F5" w14:textId="77777777" w:rsidR="005D3DF7" w:rsidRPr="00EE35F4" w:rsidRDefault="005D3DF7" w:rsidP="002150FE">
      <w:pPr>
        <w:spacing w:before="120" w:after="120"/>
        <w:ind w:left="1080" w:hanging="360"/>
        <w:rPr>
          <w:rFonts w:asciiTheme="majorHAnsi" w:hAnsiTheme="majorHAnsi"/>
        </w:rPr>
      </w:pPr>
      <w:r w:rsidRPr="00EE35F4">
        <w:rPr>
          <w:rFonts w:asciiTheme="majorHAnsi" w:hAnsiTheme="majorHAnsi"/>
        </w:rPr>
        <w:t>Under Diversity, the strategic plan highlights</w:t>
      </w:r>
    </w:p>
    <w:p w14:paraId="36EF3C63" w14:textId="77777777" w:rsidR="005D3DF7" w:rsidRPr="00EE35F4" w:rsidRDefault="005D3DF7" w:rsidP="00B55FC2">
      <w:pPr>
        <w:numPr>
          <w:ilvl w:val="0"/>
          <w:numId w:val="46"/>
        </w:numPr>
        <w:spacing w:before="240" w:after="120"/>
        <w:ind w:hanging="360"/>
        <w:rPr>
          <w:rFonts w:asciiTheme="majorHAnsi" w:hAnsiTheme="majorHAnsi"/>
        </w:rPr>
      </w:pPr>
      <w:r w:rsidRPr="00EE35F4">
        <w:rPr>
          <w:rFonts w:asciiTheme="majorHAnsi" w:hAnsiTheme="majorHAnsi"/>
        </w:rPr>
        <w:t>The importance of shaping and maintaining a campus climate that is welcoming, encouraging, and embracing of all difference to ensure all students, faculty, and staff are recognized, affirmed and valued. This can be achieved through:</w:t>
      </w:r>
    </w:p>
    <w:p w14:paraId="12EC8253" w14:textId="77777777" w:rsidR="005D3DF7" w:rsidRPr="00EE35F4" w:rsidRDefault="005D3DF7" w:rsidP="001B0696">
      <w:pPr>
        <w:numPr>
          <w:ilvl w:val="1"/>
          <w:numId w:val="46"/>
        </w:numPr>
        <w:spacing w:after="60"/>
        <w:ind w:hanging="360"/>
        <w:rPr>
          <w:rFonts w:asciiTheme="majorHAnsi" w:hAnsiTheme="majorHAnsi"/>
        </w:rPr>
      </w:pPr>
      <w:r w:rsidRPr="00EE35F4">
        <w:rPr>
          <w:rFonts w:asciiTheme="majorHAnsi" w:hAnsiTheme="majorHAnsi"/>
        </w:rPr>
        <w:t>Encouraging cross-status and cross-division dialogues</w:t>
      </w:r>
    </w:p>
    <w:p w14:paraId="16507442" w14:textId="77777777" w:rsidR="005D3DF7" w:rsidRPr="00EE35F4" w:rsidRDefault="005D3DF7" w:rsidP="001B0696">
      <w:pPr>
        <w:numPr>
          <w:ilvl w:val="1"/>
          <w:numId w:val="46"/>
        </w:numPr>
        <w:spacing w:after="60"/>
        <w:ind w:hanging="360"/>
        <w:rPr>
          <w:rFonts w:asciiTheme="majorHAnsi" w:hAnsiTheme="majorHAnsi"/>
        </w:rPr>
      </w:pPr>
      <w:r w:rsidRPr="00EE35F4">
        <w:rPr>
          <w:rFonts w:asciiTheme="majorHAnsi" w:hAnsiTheme="majorHAnsi"/>
        </w:rPr>
        <w:t>Provision of educational, social, and personal support systems for marginalized and underrepresented populations to find a sense of belonging and home</w:t>
      </w:r>
    </w:p>
    <w:p w14:paraId="2788D41B" w14:textId="77777777" w:rsidR="005D3DF7" w:rsidRPr="00EE35F4" w:rsidRDefault="005D3DF7" w:rsidP="001B0696">
      <w:pPr>
        <w:numPr>
          <w:ilvl w:val="1"/>
          <w:numId w:val="46"/>
        </w:numPr>
        <w:spacing w:after="60"/>
        <w:ind w:hanging="360"/>
        <w:rPr>
          <w:rFonts w:asciiTheme="majorHAnsi" w:hAnsiTheme="majorHAnsi"/>
        </w:rPr>
      </w:pPr>
      <w:r w:rsidRPr="00EE35F4">
        <w:rPr>
          <w:rFonts w:asciiTheme="majorHAnsi" w:hAnsiTheme="majorHAnsi"/>
        </w:rPr>
        <w:t>Provision and creation of programs and services that support the diverse communities and populations of CSU</w:t>
      </w:r>
    </w:p>
    <w:p w14:paraId="473DD844" w14:textId="77777777" w:rsidR="005D3DF7" w:rsidRPr="00EE35F4" w:rsidRDefault="005D3DF7" w:rsidP="001B0696">
      <w:pPr>
        <w:numPr>
          <w:ilvl w:val="1"/>
          <w:numId w:val="46"/>
        </w:numPr>
        <w:spacing w:after="60"/>
        <w:ind w:hanging="360"/>
        <w:rPr>
          <w:rFonts w:asciiTheme="majorHAnsi" w:hAnsiTheme="majorHAnsi"/>
        </w:rPr>
      </w:pPr>
      <w:r w:rsidRPr="00EE35F4">
        <w:rPr>
          <w:rFonts w:asciiTheme="majorHAnsi" w:hAnsiTheme="majorHAnsi"/>
        </w:rPr>
        <w:t>Provision of support mechanisms for employees, such as orientations, mentoring, support networks, and training and workshops. These should be communicated to all employees, with supervisors encouraged to support employee desires to make use of such opportunities.</w:t>
      </w:r>
    </w:p>
    <w:p w14:paraId="2A9E74FB" w14:textId="77777777" w:rsidR="005D3DF7" w:rsidRPr="00A35502" w:rsidRDefault="005D3DF7" w:rsidP="00A35502">
      <w:pPr>
        <w:pStyle w:val="Heading3"/>
        <w:spacing w:before="360"/>
        <w:rPr>
          <w:color w:val="003300"/>
          <w:szCs w:val="22"/>
        </w:rPr>
      </w:pPr>
      <w:r w:rsidRPr="00A35502">
        <w:rPr>
          <w:color w:val="003300"/>
          <w:szCs w:val="22"/>
        </w:rPr>
        <w:t xml:space="preserve">5. CSU’s Commitment to Student Success </w:t>
      </w:r>
    </w:p>
    <w:p w14:paraId="1BFA9794" w14:textId="77777777" w:rsidR="005D3DF7" w:rsidRPr="00EE35F4" w:rsidRDefault="005D3DF7" w:rsidP="002150FE">
      <w:pPr>
        <w:spacing w:before="120" w:after="120"/>
        <w:ind w:left="720" w:firstLine="0"/>
        <w:rPr>
          <w:rFonts w:asciiTheme="majorHAnsi" w:hAnsiTheme="majorHAnsi"/>
        </w:rPr>
      </w:pPr>
      <w:r w:rsidRPr="00EE35F4">
        <w:rPr>
          <w:rFonts w:asciiTheme="majorHAnsi" w:hAnsiTheme="majorHAnsi"/>
        </w:rPr>
        <w:t xml:space="preserve">CoNTTF has shaped its proposals and recommendations not only from the goals of departments, but also from the University’s plan to improve retention and success of undergraduate students at CSU. Over the past decade, CSU has worked deliberately to assess and implement several measures to increase the success of undergraduate students. In 2006, the Provost created the Retention Working Group, an assembly of academic administrators and charged them with the task of evaluating the current state </w:t>
      </w:r>
      <w:r w:rsidRPr="00EE35F4">
        <w:rPr>
          <w:rFonts w:asciiTheme="majorHAnsi" w:hAnsiTheme="majorHAnsi"/>
        </w:rPr>
        <w:lastRenderedPageBreak/>
        <w:t xml:space="preserve">of student success and retention at CSU and to develop a strategic plan and recommendations for improvements. The Retention Working Group developed key areas of recommendations that include: </w:t>
      </w:r>
    </w:p>
    <w:p w14:paraId="7795CCCC" w14:textId="77777777" w:rsidR="005D3DF7" w:rsidRPr="004C7E34" w:rsidRDefault="005D3DF7" w:rsidP="002150FE">
      <w:pPr>
        <w:pStyle w:val="ListParagraph"/>
        <w:numPr>
          <w:ilvl w:val="0"/>
          <w:numId w:val="54"/>
        </w:numPr>
        <w:spacing w:before="120" w:after="120"/>
        <w:rPr>
          <w:rFonts w:asciiTheme="majorHAnsi" w:hAnsiTheme="majorHAnsi"/>
        </w:rPr>
      </w:pPr>
      <w:r w:rsidRPr="004C7E34">
        <w:rPr>
          <w:rFonts w:asciiTheme="majorHAnsi" w:hAnsiTheme="majorHAnsi"/>
        </w:rPr>
        <w:t xml:space="preserve">Enriched opportunities for learning and engagement </w:t>
      </w:r>
    </w:p>
    <w:p w14:paraId="48DEAB9D" w14:textId="77777777" w:rsidR="005D3DF7" w:rsidRPr="004C7E34" w:rsidRDefault="005D3DF7" w:rsidP="004C7E34">
      <w:pPr>
        <w:pStyle w:val="ListParagraph"/>
        <w:numPr>
          <w:ilvl w:val="0"/>
          <w:numId w:val="54"/>
        </w:numPr>
        <w:spacing w:before="240" w:after="120"/>
        <w:rPr>
          <w:rFonts w:asciiTheme="majorHAnsi" w:hAnsiTheme="majorHAnsi"/>
        </w:rPr>
      </w:pPr>
      <w:r w:rsidRPr="004C7E34">
        <w:rPr>
          <w:rFonts w:asciiTheme="majorHAnsi" w:hAnsiTheme="majorHAnsi"/>
        </w:rPr>
        <w:t>Heightened expectations for students to take advantage of those opportunities and graduate in a timely manner</w:t>
      </w:r>
    </w:p>
    <w:p w14:paraId="216A8978" w14:textId="77777777" w:rsidR="005D3DF7" w:rsidRPr="004C7E34" w:rsidRDefault="005D3DF7" w:rsidP="004C7E34">
      <w:pPr>
        <w:pStyle w:val="ListParagraph"/>
        <w:numPr>
          <w:ilvl w:val="0"/>
          <w:numId w:val="54"/>
        </w:numPr>
        <w:spacing w:before="240" w:after="120"/>
        <w:rPr>
          <w:rFonts w:asciiTheme="majorHAnsi" w:hAnsiTheme="majorHAnsi"/>
        </w:rPr>
      </w:pPr>
      <w:r w:rsidRPr="004C7E34">
        <w:rPr>
          <w:rFonts w:asciiTheme="majorHAnsi" w:hAnsiTheme="majorHAnsi"/>
        </w:rPr>
        <w:t xml:space="preserve">Increased capacity for data collection and analysis to inform retention strategy and drive continuous improvement. </w:t>
      </w:r>
    </w:p>
    <w:p w14:paraId="0F28757F" w14:textId="0F7B5CFE" w:rsidR="005D3DF7" w:rsidRPr="00EE35F4" w:rsidRDefault="005D3DF7" w:rsidP="004C7E34">
      <w:pPr>
        <w:spacing w:before="240" w:after="120"/>
        <w:ind w:left="720" w:firstLine="0"/>
        <w:rPr>
          <w:rFonts w:asciiTheme="majorHAnsi" w:hAnsiTheme="majorHAnsi"/>
        </w:rPr>
      </w:pPr>
      <w:r w:rsidRPr="00EE35F4">
        <w:rPr>
          <w:rFonts w:asciiTheme="majorHAnsi" w:hAnsiTheme="majorHAnsi"/>
        </w:rPr>
        <w:t xml:space="preserve">The Group’s plan, </w:t>
      </w:r>
      <w:hyperlink r:id="rId15">
        <w:r w:rsidRPr="00EE35F4">
          <w:rPr>
            <w:rFonts w:asciiTheme="majorHAnsi" w:hAnsiTheme="majorHAnsi"/>
            <w:color w:val="auto"/>
          </w:rPr>
          <w:t>A Plan for Excellence: Enhance Undergraduate Education and Students Success</w:t>
        </w:r>
      </w:hyperlink>
      <w:r w:rsidRPr="00EE35F4">
        <w:rPr>
          <w:rFonts w:asciiTheme="majorHAnsi" w:hAnsiTheme="majorHAnsi"/>
          <w:color w:val="auto"/>
        </w:rPr>
        <w:t xml:space="preserve"> can be found online at </w:t>
      </w:r>
      <w:hyperlink r:id="rId16" w:history="1">
        <w:r w:rsidR="001652C5" w:rsidRPr="00EE35F4">
          <w:rPr>
            <w:rStyle w:val="Hyperlink"/>
            <w:rFonts w:asciiTheme="majorHAnsi" w:hAnsiTheme="majorHAnsi"/>
          </w:rPr>
          <w:t>http://static.colostate.edu/client-files/provost/PlanforExcellence.pdf</w:t>
        </w:r>
      </w:hyperlink>
      <w:r w:rsidRPr="00EE35F4">
        <w:rPr>
          <w:rFonts w:asciiTheme="majorHAnsi" w:hAnsiTheme="majorHAnsi"/>
          <w:color w:val="auto"/>
        </w:rPr>
        <w:t>.</w:t>
      </w:r>
    </w:p>
    <w:p w14:paraId="1E3045C2" w14:textId="77777777" w:rsidR="005D3DF7" w:rsidRPr="00EE35F4" w:rsidRDefault="005D3DF7" w:rsidP="004C7E34">
      <w:pPr>
        <w:spacing w:before="240" w:after="120"/>
        <w:ind w:left="720" w:firstLine="0"/>
        <w:rPr>
          <w:rFonts w:asciiTheme="majorHAnsi" w:hAnsiTheme="majorHAnsi"/>
        </w:rPr>
      </w:pPr>
      <w:r w:rsidRPr="00EE35F4">
        <w:rPr>
          <w:rFonts w:asciiTheme="majorHAnsi" w:hAnsiTheme="majorHAnsi"/>
        </w:rPr>
        <w:t xml:space="preserve">Below is an excerpt from an article written by Alan Lamborn, the Associate Provost for Educational Attainment, and Paul Thayer, the Associate Vice President for Student Affairs and Special Adviser to the Provost for Retention about the context and vision for undergraduate student success at CSU: </w:t>
      </w:r>
    </w:p>
    <w:p w14:paraId="3CF0D4EE" w14:textId="77777777" w:rsidR="005D3DF7" w:rsidRPr="00EE35F4" w:rsidRDefault="005D3DF7" w:rsidP="002150FE">
      <w:pPr>
        <w:spacing w:before="120" w:after="120"/>
        <w:ind w:left="1800" w:right="558" w:firstLine="0"/>
        <w:rPr>
          <w:rFonts w:asciiTheme="majorHAnsi" w:hAnsiTheme="majorHAnsi"/>
        </w:rPr>
      </w:pPr>
      <w:r w:rsidRPr="00EE35F4">
        <w:rPr>
          <w:rFonts w:asciiTheme="majorHAnsi" w:hAnsiTheme="majorHAnsi"/>
        </w:rPr>
        <w:t>In an educational area where experienced administrators applaud gains in fractions of 1 percent, freshmen retention rose almost 2 points in one year [ AY 2012-2013 to AY 2013-2014], putting an exclamation point on an almost uninterrupted series of smaller annual increases since CSU began its Student Success Initiatives in 2007-08.</w:t>
      </w:r>
    </w:p>
    <w:p w14:paraId="7E2583CD" w14:textId="77777777" w:rsidR="005D3DF7" w:rsidRPr="00EE35F4" w:rsidRDefault="005D3DF7" w:rsidP="005D3DF7">
      <w:pPr>
        <w:spacing w:before="240" w:after="120"/>
        <w:ind w:left="1800" w:right="558" w:firstLine="0"/>
        <w:rPr>
          <w:rFonts w:asciiTheme="majorHAnsi" w:hAnsiTheme="majorHAnsi"/>
        </w:rPr>
      </w:pPr>
      <w:r w:rsidRPr="00EE35F4">
        <w:rPr>
          <w:rFonts w:asciiTheme="majorHAnsi" w:hAnsiTheme="majorHAnsi"/>
        </w:rPr>
        <w:t>Since retention to the second year is but a step toward graduation, we are at least equally pleased that persistence to the junior and senior years is also at an all-time high, that graduation rates are climbing, and — of particular importance to parents and students — time to graduation is at an all-time low: 76 percent of those who graduate complete their degree within 4½ years; almost all of our remaining graduates achieve their degree within five.</w:t>
      </w:r>
    </w:p>
    <w:p w14:paraId="003E4B69" w14:textId="77777777" w:rsidR="005D3DF7" w:rsidRPr="00EE35F4" w:rsidRDefault="005D3DF7" w:rsidP="005D3DF7">
      <w:pPr>
        <w:spacing w:before="240" w:after="120"/>
        <w:ind w:left="1800" w:right="558" w:firstLine="0"/>
        <w:rPr>
          <w:rFonts w:asciiTheme="majorHAnsi" w:hAnsiTheme="majorHAnsi"/>
        </w:rPr>
      </w:pPr>
      <w:r w:rsidRPr="00EE35F4">
        <w:rPr>
          <w:rFonts w:asciiTheme="majorHAnsi" w:hAnsiTheme="majorHAnsi"/>
        </w:rPr>
        <w:t>Organizing the university experience at CSU so that entering students have an authentic opportunity to graduate — and to graduate as quickly and efficiently as possible — is a foundational goal. But a credential is only as meaningful as the educational experience it symbolizes. An authentic opportunity to graduate must come paired with an authentic opportunity for learning that matters — deep learning that students can internalize, recall and apply in analytically sophisticated and innovative ways to address novel situations and challenges through a lifetime.</w:t>
      </w:r>
    </w:p>
    <w:p w14:paraId="70DF990A" w14:textId="77777777" w:rsidR="005D3DF7" w:rsidRPr="00EE35F4" w:rsidRDefault="005D3DF7" w:rsidP="005D3DF7">
      <w:pPr>
        <w:spacing w:before="240" w:after="120"/>
        <w:ind w:left="1800" w:right="558" w:firstLine="0"/>
        <w:rPr>
          <w:rFonts w:asciiTheme="majorHAnsi" w:hAnsiTheme="majorHAnsi"/>
        </w:rPr>
      </w:pPr>
      <w:r w:rsidRPr="00EE35F4">
        <w:rPr>
          <w:rFonts w:asciiTheme="majorHAnsi" w:hAnsiTheme="majorHAnsi"/>
        </w:rPr>
        <w:t>When the retention and graduation rate agendas burst into the national educational conversation a decade or so ago, many faculty and administrators worried that there would be pressure to trade a decrease in the quality and challenge of the educational experience for an increase in the percentage of students who were “succeeding.” Fortunately, for both Colorado State University and our students, when CSU’s Retention Working Group finished its research in April 2006 on the sources of enhanced student success, it was able to report that the most powerful factors driving increased retention and graduation rates were the level of curricular and co-curricular engagement — the depth and quality of the educational experience.</w:t>
      </w:r>
    </w:p>
    <w:p w14:paraId="4CFF00AE" w14:textId="77777777" w:rsidR="005D3DF7" w:rsidRPr="00EE35F4" w:rsidRDefault="005D3DF7" w:rsidP="005D3DF7">
      <w:pPr>
        <w:spacing w:before="240" w:after="120"/>
        <w:ind w:left="1800" w:right="558" w:firstLine="0"/>
        <w:rPr>
          <w:rFonts w:asciiTheme="majorHAnsi" w:hAnsiTheme="majorHAnsi"/>
        </w:rPr>
      </w:pPr>
      <w:r w:rsidRPr="00EE35F4">
        <w:rPr>
          <w:rFonts w:asciiTheme="majorHAnsi" w:hAnsiTheme="majorHAnsi"/>
        </w:rPr>
        <w:lastRenderedPageBreak/>
        <w:t>It’s all about active and experiential learning — about students and faculty making joint investments and taking shared risks to not only learn things that matter, but also to learn how to be self-directed and self-taught so that one’s education can provide a lifetime worth of continually updated skills and knowledge. In a world in which the overwhelming majority of our graduates will change jobs and careers multiple times, passive learning is of little long-term value.</w:t>
      </w:r>
    </w:p>
    <w:p w14:paraId="6DC9F896" w14:textId="77777777" w:rsidR="005D3DF7" w:rsidRPr="00EE35F4" w:rsidRDefault="005D3DF7" w:rsidP="005D3DF7">
      <w:pPr>
        <w:spacing w:before="240" w:after="120"/>
        <w:ind w:left="1800" w:right="558" w:firstLine="0"/>
        <w:rPr>
          <w:rFonts w:asciiTheme="majorHAnsi" w:hAnsiTheme="majorHAnsi"/>
        </w:rPr>
      </w:pPr>
      <w:r w:rsidRPr="00EE35F4">
        <w:rPr>
          <w:rFonts w:asciiTheme="majorHAnsi" w:hAnsiTheme="majorHAnsi"/>
        </w:rPr>
        <w:t>Therefore, while we have paid close attention throughout our Student Success planning to ways in which administrative practices can be improved or streamlined, the central focus from the beginning has been on educational excellence and the quality of the curricular and co-curricular experience. Consequently, when we celebrate, as we do this year [2014], truly significant increases in retention, persistence and graduation — even as the time to graduation goes down — we know that what we are really seeing is the realization of an authentic opportunity to learn things that matter.</w:t>
      </w:r>
    </w:p>
    <w:p w14:paraId="7852897A" w14:textId="77777777" w:rsidR="005D3DF7" w:rsidRPr="00EE35F4" w:rsidRDefault="005D3DF7" w:rsidP="005D3DF7">
      <w:pPr>
        <w:spacing w:before="240" w:after="120"/>
        <w:ind w:left="1800" w:right="558" w:firstLine="0"/>
        <w:rPr>
          <w:rFonts w:asciiTheme="majorHAnsi" w:hAnsiTheme="majorHAnsi"/>
        </w:rPr>
      </w:pPr>
      <w:r w:rsidRPr="00EE35F4">
        <w:rPr>
          <w:rFonts w:asciiTheme="majorHAnsi" w:hAnsiTheme="majorHAnsi"/>
        </w:rPr>
        <w:t xml:space="preserve">We also know that for this educational opportunity to be realized, everyone on campus must play their distinctive role as educators. </w:t>
      </w:r>
    </w:p>
    <w:p w14:paraId="1170F83F" w14:textId="1B65365B" w:rsidR="005D3DF7" w:rsidRPr="00A35502" w:rsidRDefault="005D3DF7" w:rsidP="00A35502">
      <w:pPr>
        <w:pStyle w:val="Heading3"/>
        <w:spacing w:before="360"/>
        <w:rPr>
          <w:color w:val="003300"/>
          <w:szCs w:val="22"/>
        </w:rPr>
      </w:pPr>
      <w:r w:rsidRPr="00A35502">
        <w:rPr>
          <w:color w:val="003300"/>
          <w:szCs w:val="22"/>
        </w:rPr>
        <w:t>6. The President’s Commission on Women and Gender Equity</w:t>
      </w:r>
      <w:r w:rsidR="00D9344A" w:rsidRPr="00A35502">
        <w:rPr>
          <w:color w:val="003300"/>
          <w:szCs w:val="22"/>
        </w:rPr>
        <w:t xml:space="preserve"> and </w:t>
      </w:r>
      <w:r w:rsidR="00905B2C" w:rsidRPr="00A35502">
        <w:rPr>
          <w:color w:val="003300"/>
          <w:szCs w:val="22"/>
        </w:rPr>
        <w:t>the Standing</w:t>
      </w:r>
      <w:r w:rsidR="00D9344A" w:rsidRPr="00A35502">
        <w:rPr>
          <w:color w:val="003300"/>
          <w:szCs w:val="22"/>
        </w:rPr>
        <w:t xml:space="preserve"> Committee on </w:t>
      </w:r>
      <w:r w:rsidR="00905B2C" w:rsidRPr="00A35502">
        <w:rPr>
          <w:color w:val="003300"/>
          <w:szCs w:val="22"/>
        </w:rPr>
        <w:t>the Status</w:t>
      </w:r>
      <w:r w:rsidR="00D9344A" w:rsidRPr="00A35502">
        <w:rPr>
          <w:color w:val="003300"/>
          <w:szCs w:val="22"/>
        </w:rPr>
        <w:t xml:space="preserve"> of Women Faculty</w:t>
      </w:r>
    </w:p>
    <w:p w14:paraId="35F04428" w14:textId="3DDA006F" w:rsidR="005D3DF7" w:rsidRPr="004C7E34" w:rsidRDefault="00D9344A" w:rsidP="005D3DF7">
      <w:pPr>
        <w:pStyle w:val="Heading3"/>
        <w:ind w:left="720"/>
        <w:rPr>
          <w:color w:val="auto"/>
          <w:sz w:val="22"/>
          <w:szCs w:val="22"/>
        </w:rPr>
      </w:pPr>
      <w:r w:rsidRPr="004C7E34">
        <w:rPr>
          <w:color w:val="auto"/>
          <w:sz w:val="22"/>
          <w:szCs w:val="22"/>
          <w:u w:val="single"/>
        </w:rPr>
        <w:t>President’s Commission:</w:t>
      </w:r>
      <w:r w:rsidRPr="004C7E34">
        <w:rPr>
          <w:color w:val="auto"/>
          <w:sz w:val="22"/>
          <w:szCs w:val="22"/>
        </w:rPr>
        <w:t xml:space="preserve"> </w:t>
      </w:r>
      <w:r w:rsidR="005D3DF7" w:rsidRPr="004C7E34">
        <w:rPr>
          <w:color w:val="auto"/>
          <w:sz w:val="22"/>
          <w:szCs w:val="22"/>
        </w:rPr>
        <w:t>To promote an environment at Colorado State University that fosters productive and supportive relationships and interactions among people. Such an environment is one in which people of all genders are supported and recognized; where people of all gender identities and expressions feels safe; where all people are freed from limitations and restrictions of culturally defined sex roles; and in which all members of the campus community feel empowered and supported by the institution and University community in pursuing their professional and academic aspirations. The Commission shares the University’s goal of making Colorado State University the best environment for women to work, in any capacity – and all women, born female or not, are including in this understanding.</w:t>
      </w:r>
    </w:p>
    <w:p w14:paraId="33029F86" w14:textId="6F4F7D96" w:rsidR="005D3DF7" w:rsidRPr="00EE35F4" w:rsidRDefault="00D9344A" w:rsidP="005D3DF7">
      <w:pPr>
        <w:spacing w:before="240" w:after="120"/>
        <w:ind w:left="720" w:firstLine="0"/>
        <w:rPr>
          <w:rFonts w:asciiTheme="majorHAnsi" w:hAnsiTheme="majorHAnsi"/>
        </w:rPr>
      </w:pPr>
      <w:r w:rsidRPr="004C7E34">
        <w:rPr>
          <w:rFonts w:asciiTheme="majorHAnsi" w:hAnsiTheme="majorHAnsi"/>
          <w:color w:val="auto"/>
          <w:highlight w:val="white"/>
          <w:u w:val="single"/>
        </w:rPr>
        <w:t>Standing Committee on the Status of Women Faculty:</w:t>
      </w:r>
      <w:r w:rsidRPr="004C7E34">
        <w:rPr>
          <w:rFonts w:asciiTheme="majorHAnsi" w:hAnsiTheme="majorHAnsi"/>
          <w:color w:val="auto"/>
          <w:highlight w:val="white"/>
        </w:rPr>
        <w:t xml:space="preserve"> </w:t>
      </w:r>
      <w:r w:rsidR="005D3DF7" w:rsidRPr="004C7E34">
        <w:rPr>
          <w:rFonts w:asciiTheme="majorHAnsi" w:hAnsiTheme="majorHAnsi"/>
          <w:color w:val="auto"/>
          <w:highlight w:val="white"/>
        </w:rPr>
        <w:t xml:space="preserve">This committee will focus explicitly on issues impacting the work life, campus climate, and persistent barriers inhibiting the success of women faculty at Colorado State. This committee will pay special attention to the national climate for academic women, and will offer recommendations for ways CSU might help to counter pervasive national challenges related to women in academia, including all disciplines where women are historically </w:t>
      </w:r>
      <w:r w:rsidR="005D3DF7" w:rsidRPr="00EE35F4">
        <w:rPr>
          <w:rFonts w:asciiTheme="majorHAnsi" w:hAnsiTheme="majorHAnsi"/>
          <w:highlight w:val="white"/>
        </w:rPr>
        <w:t>and currently underrepresented and the underrepresentation of women in senior academic and leadership positions.</w:t>
      </w:r>
    </w:p>
    <w:p w14:paraId="75367FFF" w14:textId="77777777" w:rsidR="005D3DF7" w:rsidRPr="00A35502" w:rsidRDefault="005D3DF7" w:rsidP="00A35502">
      <w:pPr>
        <w:pStyle w:val="Heading3"/>
        <w:spacing w:before="360"/>
        <w:rPr>
          <w:color w:val="003300"/>
          <w:szCs w:val="22"/>
        </w:rPr>
      </w:pPr>
      <w:r w:rsidRPr="00A35502">
        <w:rPr>
          <w:color w:val="003300"/>
          <w:szCs w:val="22"/>
        </w:rPr>
        <w:t>7. The Center for the Study of Academic Labor</w:t>
      </w:r>
    </w:p>
    <w:p w14:paraId="46D9515F" w14:textId="77777777" w:rsidR="005D3DF7" w:rsidRPr="00EE35F4" w:rsidRDefault="005D3DF7" w:rsidP="002150FE">
      <w:pPr>
        <w:spacing w:before="120" w:after="120"/>
        <w:ind w:left="720" w:firstLine="0"/>
        <w:rPr>
          <w:rFonts w:asciiTheme="majorHAnsi" w:hAnsiTheme="majorHAnsi"/>
        </w:rPr>
      </w:pPr>
      <w:r w:rsidRPr="00EE35F4">
        <w:rPr>
          <w:rFonts w:asciiTheme="majorHAnsi" w:hAnsiTheme="majorHAnsi"/>
        </w:rPr>
        <w:t>The Center for the Study of Academic Labor (CSAL) was established in 2013 to promote research and scholarship on the transformation of academic labor in higher education, including but not limited to scholarship on contingency and tenure.</w:t>
      </w:r>
    </w:p>
    <w:p w14:paraId="1A138D8B" w14:textId="77777777" w:rsidR="005D3DF7" w:rsidRPr="00EE35F4" w:rsidRDefault="005D3DF7" w:rsidP="004C7E34">
      <w:pPr>
        <w:spacing w:before="240" w:after="120"/>
        <w:ind w:left="720" w:firstLine="0"/>
        <w:rPr>
          <w:rFonts w:asciiTheme="majorHAnsi" w:hAnsiTheme="majorHAnsi"/>
        </w:rPr>
      </w:pPr>
      <w:r w:rsidRPr="00EE35F4">
        <w:rPr>
          <w:rFonts w:asciiTheme="majorHAnsi" w:hAnsiTheme="majorHAnsi"/>
        </w:rPr>
        <w:t xml:space="preserve">The teaching mission of higher education, and the system of academic labor that puts it into practice, are under threat from escalating tuition costs, competition from on-line alternatives, shrinking state support for higher education, and administrative spending priorities. CSAL seeks to build a multidisciplinary network of scholars who have </w:t>
      </w:r>
      <w:r w:rsidRPr="00EE35F4">
        <w:rPr>
          <w:rFonts w:asciiTheme="majorHAnsi" w:hAnsiTheme="majorHAnsi"/>
        </w:rPr>
        <w:lastRenderedPageBreak/>
        <w:t>particular interests in the dramatic growth of contingent faculty throughout all of higher education and its impact on educational outcomes, faculty governance, academic freedom, the culture of higher education, and academic workers themselves. In so doing, CSAL carves out an area of research and publication—a scholarship home–for what some have called contingency studies.</w:t>
      </w:r>
    </w:p>
    <w:p w14:paraId="7B29D3C7" w14:textId="77777777" w:rsidR="005D3DF7" w:rsidRPr="00EE35F4" w:rsidRDefault="005D3DF7" w:rsidP="004C7E34">
      <w:pPr>
        <w:spacing w:before="240" w:after="120"/>
        <w:ind w:left="720" w:firstLine="0"/>
        <w:rPr>
          <w:rFonts w:asciiTheme="majorHAnsi" w:hAnsiTheme="majorHAnsi"/>
        </w:rPr>
      </w:pPr>
      <w:r w:rsidRPr="00EE35F4">
        <w:rPr>
          <w:rFonts w:asciiTheme="majorHAnsi" w:hAnsiTheme="majorHAnsi"/>
        </w:rPr>
        <w:t>The Center invites discussion of the characteristics and working conditions of contingent faculty, the academic labor market, university budgets, academic employment policies, and the future of the tenure system. CSAL supports investigation and publication by all ranks of faculty, including those off the tenure-track.</w:t>
      </w:r>
    </w:p>
    <w:p w14:paraId="0EAE61AC" w14:textId="77777777" w:rsidR="005D3DF7" w:rsidRPr="00EE35F4" w:rsidRDefault="005D3DF7" w:rsidP="004C7E34">
      <w:pPr>
        <w:spacing w:before="240" w:after="120"/>
        <w:ind w:left="720" w:firstLine="0"/>
        <w:rPr>
          <w:rFonts w:asciiTheme="majorHAnsi" w:hAnsiTheme="majorHAnsi"/>
        </w:rPr>
      </w:pPr>
      <w:r w:rsidRPr="00EE35F4">
        <w:rPr>
          <w:rFonts w:asciiTheme="majorHAnsi" w:hAnsiTheme="majorHAnsi"/>
        </w:rPr>
        <w:t>CSAL promotes respect for all faculty, fair treatment of all faculty, and dedication to the teaching mission of higher education.</w:t>
      </w:r>
    </w:p>
    <w:p w14:paraId="52E5B802" w14:textId="77777777" w:rsidR="005D3DF7" w:rsidRPr="00A35502" w:rsidRDefault="005D3DF7" w:rsidP="00A35502">
      <w:pPr>
        <w:pStyle w:val="Heading3"/>
        <w:spacing w:before="360"/>
        <w:rPr>
          <w:color w:val="003300"/>
          <w:szCs w:val="22"/>
        </w:rPr>
      </w:pPr>
      <w:r w:rsidRPr="00A35502">
        <w:rPr>
          <w:color w:val="003300"/>
          <w:szCs w:val="22"/>
        </w:rPr>
        <w:t>8. CSU’s Principles of Community</w:t>
      </w:r>
    </w:p>
    <w:p w14:paraId="51D10B3A" w14:textId="77777777" w:rsidR="005D3DF7" w:rsidRPr="00EE35F4" w:rsidRDefault="005D3DF7" w:rsidP="002150FE">
      <w:pPr>
        <w:spacing w:before="120" w:after="120"/>
        <w:ind w:left="720" w:firstLine="0"/>
        <w:rPr>
          <w:rFonts w:asciiTheme="majorHAnsi" w:hAnsiTheme="majorHAnsi"/>
        </w:rPr>
      </w:pPr>
      <w:r w:rsidRPr="00EE35F4">
        <w:rPr>
          <w:rFonts w:asciiTheme="majorHAnsi" w:hAnsiTheme="majorHAnsi"/>
        </w:rPr>
        <w:t xml:space="preserve">The Principles of Community support the Colorado State University mission and vision of access, research, teaching, service and engagement. A collaborative, and vibrant community is a foundation for learning, critical inquiry, and discovery. Therefore, each member of the CSU community has a responsibility to uphold these principles when engaging with one another and acting on behalf of the University. </w:t>
      </w:r>
    </w:p>
    <w:p w14:paraId="5BA89C7D" w14:textId="77777777" w:rsidR="005D3DF7" w:rsidRPr="00EE35F4" w:rsidRDefault="005D3DF7" w:rsidP="005D3DF7">
      <w:pPr>
        <w:spacing w:before="240" w:after="120"/>
        <w:ind w:left="720" w:firstLine="0"/>
        <w:rPr>
          <w:rFonts w:asciiTheme="majorHAnsi" w:hAnsiTheme="majorHAnsi"/>
        </w:rPr>
      </w:pPr>
      <w:r w:rsidRPr="00EE35F4">
        <w:rPr>
          <w:rFonts w:asciiTheme="majorHAnsi" w:hAnsiTheme="majorHAnsi"/>
          <w:u w:val="single"/>
        </w:rPr>
        <w:t>Inclusion</w:t>
      </w:r>
      <w:r w:rsidRPr="00EE35F4">
        <w:rPr>
          <w:rFonts w:asciiTheme="majorHAnsi" w:hAnsiTheme="majorHAnsi"/>
        </w:rPr>
        <w:t xml:space="preserve">: We create and nurture inclusive environments and welcome, value and affirm all members of our community, including their various identities, skills, ideas, talents, and contributions. </w:t>
      </w:r>
    </w:p>
    <w:p w14:paraId="6E88613E" w14:textId="77777777" w:rsidR="005D3DF7" w:rsidRPr="00EE35F4" w:rsidRDefault="005D3DF7" w:rsidP="005D3DF7">
      <w:pPr>
        <w:spacing w:before="240" w:after="120"/>
        <w:ind w:left="720" w:firstLine="0"/>
        <w:rPr>
          <w:rFonts w:asciiTheme="majorHAnsi" w:hAnsiTheme="majorHAnsi"/>
        </w:rPr>
      </w:pPr>
      <w:r w:rsidRPr="00EE35F4">
        <w:rPr>
          <w:rFonts w:asciiTheme="majorHAnsi" w:hAnsiTheme="majorHAnsi"/>
          <w:u w:val="single"/>
        </w:rPr>
        <w:t>Integrity</w:t>
      </w:r>
      <w:r w:rsidRPr="00EE35F4">
        <w:rPr>
          <w:rFonts w:asciiTheme="majorHAnsi" w:hAnsiTheme="majorHAnsi"/>
        </w:rPr>
        <w:t xml:space="preserve">: We are accountable for our actions and will act ethically and honestly in all our interactions. </w:t>
      </w:r>
    </w:p>
    <w:p w14:paraId="01076EB4" w14:textId="77777777" w:rsidR="005D3DF7" w:rsidRPr="00EE35F4" w:rsidRDefault="005D3DF7" w:rsidP="005D3DF7">
      <w:pPr>
        <w:spacing w:before="240" w:after="120"/>
        <w:ind w:left="720" w:firstLine="0"/>
        <w:rPr>
          <w:rFonts w:asciiTheme="majorHAnsi" w:hAnsiTheme="majorHAnsi"/>
        </w:rPr>
      </w:pPr>
      <w:r w:rsidRPr="00EE35F4">
        <w:rPr>
          <w:rFonts w:asciiTheme="majorHAnsi" w:hAnsiTheme="majorHAnsi"/>
          <w:u w:val="single"/>
        </w:rPr>
        <w:t>Respect:</w:t>
      </w:r>
      <w:r w:rsidRPr="00EE35F4">
        <w:rPr>
          <w:rFonts w:asciiTheme="majorHAnsi" w:hAnsiTheme="majorHAnsi"/>
        </w:rPr>
        <w:t xml:space="preserve"> We honor the inherent dignity of all people within an environment where we are committed to freedom of expression, critical discourse, and the advancement of knowledge. </w:t>
      </w:r>
    </w:p>
    <w:p w14:paraId="152EA784" w14:textId="77777777" w:rsidR="005D3DF7" w:rsidRPr="00EE35F4" w:rsidRDefault="005D3DF7" w:rsidP="005D3DF7">
      <w:pPr>
        <w:spacing w:before="240" w:after="120"/>
        <w:ind w:left="720" w:firstLine="0"/>
        <w:rPr>
          <w:rFonts w:asciiTheme="majorHAnsi" w:hAnsiTheme="majorHAnsi"/>
        </w:rPr>
      </w:pPr>
      <w:r w:rsidRPr="00EE35F4">
        <w:rPr>
          <w:rFonts w:asciiTheme="majorHAnsi" w:hAnsiTheme="majorHAnsi"/>
          <w:u w:val="single"/>
        </w:rPr>
        <w:t>Service:</w:t>
      </w:r>
      <w:r w:rsidRPr="00EE35F4">
        <w:rPr>
          <w:rFonts w:asciiTheme="majorHAnsi" w:hAnsiTheme="majorHAnsi"/>
        </w:rPr>
        <w:t xml:space="preserve"> We are responsible, individually and collectively, to give of our time, talents, and resources to promote the well-being of each other and the development of our local, regional, and global communities. </w:t>
      </w:r>
    </w:p>
    <w:p w14:paraId="39DD284E" w14:textId="77777777" w:rsidR="005D3DF7" w:rsidRPr="00EE35F4" w:rsidRDefault="005D3DF7" w:rsidP="005D3DF7">
      <w:pPr>
        <w:spacing w:before="240" w:after="120"/>
        <w:ind w:left="720" w:firstLine="0"/>
        <w:rPr>
          <w:rFonts w:asciiTheme="majorHAnsi" w:hAnsiTheme="majorHAnsi"/>
        </w:rPr>
      </w:pPr>
      <w:r w:rsidRPr="00EE35F4">
        <w:rPr>
          <w:rFonts w:asciiTheme="majorHAnsi" w:hAnsiTheme="majorHAnsi"/>
          <w:u w:val="single"/>
        </w:rPr>
        <w:t>Social Justice:</w:t>
      </w:r>
      <w:r w:rsidRPr="00EE35F4">
        <w:rPr>
          <w:rFonts w:asciiTheme="majorHAnsi" w:hAnsiTheme="majorHAnsi"/>
        </w:rPr>
        <w:t xml:space="preserve"> We have the right to be treated and the responsibility to treat others with fairness and equity, the duty to challenge prejudice, and to uphold the laws, policies and procedures that promote justice in all respects.</w:t>
      </w:r>
    </w:p>
    <w:p w14:paraId="746003E6" w14:textId="77777777" w:rsidR="005D3DF7" w:rsidRPr="00EE35F4" w:rsidRDefault="005D3DF7" w:rsidP="00A35502">
      <w:pPr>
        <w:pStyle w:val="Heading3"/>
        <w:spacing w:before="360"/>
        <w:rPr>
          <w:szCs w:val="22"/>
        </w:rPr>
      </w:pPr>
      <w:r w:rsidRPr="00A35502">
        <w:rPr>
          <w:color w:val="003300"/>
          <w:szCs w:val="22"/>
        </w:rPr>
        <w:t>9. The Reinvention Center</w:t>
      </w:r>
    </w:p>
    <w:p w14:paraId="228282B2" w14:textId="77777777" w:rsidR="005D3DF7" w:rsidRPr="00EE35F4" w:rsidRDefault="005D3DF7" w:rsidP="002150FE">
      <w:pPr>
        <w:spacing w:before="120" w:after="120"/>
        <w:ind w:left="720" w:firstLine="0"/>
        <w:rPr>
          <w:rFonts w:asciiTheme="majorHAnsi" w:hAnsiTheme="majorHAnsi"/>
        </w:rPr>
      </w:pPr>
      <w:r w:rsidRPr="00EE35F4">
        <w:rPr>
          <w:rFonts w:asciiTheme="majorHAnsi" w:hAnsiTheme="majorHAnsi"/>
          <w:highlight w:val="white"/>
        </w:rPr>
        <w:t>The goal of the Reinvention Center’s programming is to use the collective expertise and energy of the people in this consortium of institutions to identify the most powerful ideas for advancing undergraduate education at America’s research universities, support the efforts of UVPs [Vice Provosts and Vice Presidents of Undergraduate Education] and others who are responsible for successfully implementing the ideas that their institutions have decided to pursue, and then share in an ongoing collective debriefing as we evaluate the effectiveness of those initiatives.</w:t>
      </w:r>
    </w:p>
    <w:p w14:paraId="03DCAF20" w14:textId="77777777" w:rsidR="005D3DF7" w:rsidRPr="00A35502" w:rsidRDefault="005D3DF7" w:rsidP="00A35502">
      <w:pPr>
        <w:pStyle w:val="Heading3"/>
        <w:spacing w:before="360"/>
        <w:rPr>
          <w:color w:val="003300"/>
          <w:szCs w:val="22"/>
        </w:rPr>
      </w:pPr>
      <w:r w:rsidRPr="00A35502">
        <w:rPr>
          <w:color w:val="003300"/>
          <w:szCs w:val="22"/>
        </w:rPr>
        <w:lastRenderedPageBreak/>
        <w:t>10. CSAL’s Contingent Faculty Report December 2015</w:t>
      </w:r>
    </w:p>
    <w:p w14:paraId="4437048A" w14:textId="77777777" w:rsidR="005D3DF7" w:rsidRPr="00EE35F4" w:rsidRDefault="005D3DF7" w:rsidP="002150FE">
      <w:pPr>
        <w:spacing w:before="120" w:after="120"/>
        <w:ind w:left="720" w:firstLine="0"/>
        <w:rPr>
          <w:rFonts w:asciiTheme="majorHAnsi" w:hAnsiTheme="majorHAnsi"/>
        </w:rPr>
      </w:pPr>
      <w:r w:rsidRPr="00EE35F4">
        <w:rPr>
          <w:rFonts w:asciiTheme="majorHAnsi" w:hAnsiTheme="majorHAnsi"/>
        </w:rPr>
        <w:t xml:space="preserve">Two surveys have been conducted of NTTF at CSU, the first in 2009 by the provost’s Task Force and the second in 2015 by the Center of the Study of Academic Labor.  In the 2009 report, a notable finding was that the respect of tenured colleagues was as important as salary increases to Contingent Faculty. Few rewards were evident at the time, and governance participation within units was rare. By 2015, governance had improved, but an understanding of NTTF of their working conditions, including even appointment type, remained murky to many NTTF.  While some NTTF reported improvements within their units, others reported little improvement, suggesting that changes had not become as regularized as often believed.  Salary compression among those NTTF having considerable experience was felt as a particular insult given that base pay increases had been steady over the period stretching from 2004 to 2015.   The executive summary and full report of the 2015 CSAL’s Contingent Faculty Report can be found in Appendix D or at </w:t>
      </w:r>
      <w:hyperlink r:id="rId17">
        <w:r w:rsidRPr="00EE35F4">
          <w:rPr>
            <w:rFonts w:asciiTheme="majorHAnsi" w:hAnsiTheme="majorHAnsi"/>
            <w:color w:val="29401A"/>
            <w:u w:val="single"/>
          </w:rPr>
          <w:t>http://csal.colostate.edu</w:t>
        </w:r>
      </w:hyperlink>
      <w:hyperlink r:id="rId18"/>
    </w:p>
    <w:p w14:paraId="0DB5F887" w14:textId="77777777" w:rsidR="005D3DF7" w:rsidRPr="00A35502" w:rsidRDefault="005D3DF7" w:rsidP="00A35502">
      <w:pPr>
        <w:pStyle w:val="Heading5"/>
        <w:spacing w:before="360" w:after="120"/>
        <w:rPr>
          <w:rFonts w:asciiTheme="majorHAnsi" w:hAnsiTheme="majorHAnsi"/>
          <w:color w:val="003300"/>
          <w:sz w:val="28"/>
        </w:rPr>
      </w:pPr>
      <w:r w:rsidRPr="00A35502">
        <w:rPr>
          <w:rFonts w:asciiTheme="majorHAnsi" w:hAnsiTheme="majorHAnsi"/>
          <w:color w:val="003300"/>
          <w:sz w:val="28"/>
        </w:rPr>
        <w:t xml:space="preserve">11. Provost’s Task Force Report of the Survey of Contingent Faculty at Colorado State University – 2009 </w:t>
      </w:r>
    </w:p>
    <w:p w14:paraId="190C1715" w14:textId="36B19B64" w:rsidR="005D3DF7" w:rsidRPr="00EE35F4" w:rsidRDefault="005D3DF7" w:rsidP="002150FE">
      <w:pPr>
        <w:spacing w:before="120" w:after="120"/>
        <w:ind w:left="720" w:firstLine="0"/>
        <w:rPr>
          <w:rFonts w:asciiTheme="majorHAnsi" w:hAnsiTheme="majorHAnsi"/>
        </w:rPr>
      </w:pPr>
      <w:r w:rsidRPr="00EE35F4">
        <w:rPr>
          <w:rFonts w:asciiTheme="majorHAnsi" w:hAnsiTheme="majorHAnsi"/>
        </w:rPr>
        <w:t xml:space="preserve">Many contingent faculty reported deep loyalty to CSU. One person wrote: “I just want to be appreciated in return.” At the same time, several questions revealed sharp differences among the experiences of non-tenure-track faculty across the campus; nearly equal levels of satisfaction and dissatisfaction were reported in regard to the following measures: </w:t>
      </w:r>
    </w:p>
    <w:p w14:paraId="7FDE3167" w14:textId="61A0DBBF" w:rsidR="005D3DF7" w:rsidRPr="00EE35F4" w:rsidRDefault="00D9344A" w:rsidP="002150FE">
      <w:pPr>
        <w:pStyle w:val="ListParagraph"/>
        <w:numPr>
          <w:ilvl w:val="0"/>
          <w:numId w:val="52"/>
        </w:numPr>
        <w:spacing w:before="120" w:after="120"/>
        <w:rPr>
          <w:rFonts w:asciiTheme="majorHAnsi" w:hAnsiTheme="majorHAnsi"/>
        </w:rPr>
      </w:pPr>
      <w:r w:rsidRPr="00EE35F4">
        <w:rPr>
          <w:rFonts w:asciiTheme="majorHAnsi" w:hAnsiTheme="majorHAnsi"/>
        </w:rPr>
        <w:t>Having c</w:t>
      </w:r>
      <w:r w:rsidR="005D3DF7" w:rsidRPr="00EE35F4">
        <w:rPr>
          <w:rFonts w:asciiTheme="majorHAnsi" w:hAnsiTheme="majorHAnsi"/>
        </w:rPr>
        <w:t xml:space="preserve">ontact with colleagues </w:t>
      </w:r>
    </w:p>
    <w:p w14:paraId="0A1A4624" w14:textId="194404CC" w:rsidR="005D3DF7" w:rsidRPr="00EE35F4" w:rsidRDefault="005D3DF7" w:rsidP="00B55FC2">
      <w:pPr>
        <w:pStyle w:val="ListParagraph"/>
        <w:numPr>
          <w:ilvl w:val="0"/>
          <w:numId w:val="52"/>
        </w:numPr>
        <w:spacing w:before="240" w:after="120"/>
        <w:rPr>
          <w:rFonts w:asciiTheme="majorHAnsi" w:hAnsiTheme="majorHAnsi"/>
        </w:rPr>
      </w:pPr>
      <w:r w:rsidRPr="00EE35F4">
        <w:rPr>
          <w:rFonts w:asciiTheme="majorHAnsi" w:hAnsiTheme="majorHAnsi"/>
        </w:rPr>
        <w:t>Feeling valued as a professional</w:t>
      </w:r>
    </w:p>
    <w:p w14:paraId="2D018129" w14:textId="004D1972" w:rsidR="005D3DF7" w:rsidRPr="00EE35F4" w:rsidRDefault="00D9344A" w:rsidP="00D9344A">
      <w:pPr>
        <w:pStyle w:val="ListParagraph"/>
        <w:numPr>
          <w:ilvl w:val="0"/>
          <w:numId w:val="52"/>
        </w:numPr>
        <w:spacing w:before="240" w:after="120"/>
        <w:rPr>
          <w:rFonts w:asciiTheme="majorHAnsi" w:hAnsiTheme="majorHAnsi"/>
        </w:rPr>
      </w:pPr>
      <w:r w:rsidRPr="00EE35F4">
        <w:rPr>
          <w:rFonts w:asciiTheme="majorHAnsi" w:hAnsiTheme="majorHAnsi"/>
        </w:rPr>
        <w:t>B</w:t>
      </w:r>
      <w:r w:rsidR="005D3DF7" w:rsidRPr="00EE35F4">
        <w:rPr>
          <w:rFonts w:asciiTheme="majorHAnsi" w:hAnsiTheme="majorHAnsi"/>
        </w:rPr>
        <w:t xml:space="preserve">eing mentored </w:t>
      </w:r>
    </w:p>
    <w:p w14:paraId="2DC4D092" w14:textId="714637B6" w:rsidR="005D3DF7" w:rsidRPr="00EE35F4" w:rsidRDefault="005D3DF7" w:rsidP="00B55FC2">
      <w:pPr>
        <w:pStyle w:val="ListParagraph"/>
        <w:numPr>
          <w:ilvl w:val="0"/>
          <w:numId w:val="52"/>
        </w:numPr>
        <w:spacing w:before="240" w:after="120"/>
        <w:rPr>
          <w:rFonts w:asciiTheme="majorHAnsi" w:hAnsiTheme="majorHAnsi"/>
        </w:rPr>
      </w:pPr>
      <w:r w:rsidRPr="00EE35F4">
        <w:rPr>
          <w:rFonts w:asciiTheme="majorHAnsi" w:hAnsiTheme="majorHAnsi"/>
        </w:rPr>
        <w:t xml:space="preserve">Having access to professional development </w:t>
      </w:r>
    </w:p>
    <w:p w14:paraId="7282403C" w14:textId="42A9DACF" w:rsidR="005D3DF7" w:rsidRPr="00EE35F4" w:rsidRDefault="005D3DF7" w:rsidP="00B55FC2">
      <w:pPr>
        <w:pStyle w:val="ListParagraph"/>
        <w:numPr>
          <w:ilvl w:val="0"/>
          <w:numId w:val="52"/>
        </w:numPr>
        <w:spacing w:before="240" w:after="120"/>
        <w:rPr>
          <w:rFonts w:asciiTheme="majorHAnsi" w:hAnsiTheme="majorHAnsi"/>
        </w:rPr>
      </w:pPr>
      <w:r w:rsidRPr="00EE35F4">
        <w:rPr>
          <w:rFonts w:asciiTheme="majorHAnsi" w:hAnsiTheme="majorHAnsi"/>
        </w:rPr>
        <w:t xml:space="preserve">Being involved in department activities </w:t>
      </w:r>
    </w:p>
    <w:p w14:paraId="09E73DC7" w14:textId="616C1289" w:rsidR="005D3DF7" w:rsidRPr="00EE35F4" w:rsidRDefault="005D3DF7" w:rsidP="00B55FC2">
      <w:pPr>
        <w:pStyle w:val="ListParagraph"/>
        <w:numPr>
          <w:ilvl w:val="0"/>
          <w:numId w:val="52"/>
        </w:numPr>
        <w:spacing w:before="240" w:after="120"/>
        <w:rPr>
          <w:rFonts w:asciiTheme="majorHAnsi" w:hAnsiTheme="majorHAnsi"/>
        </w:rPr>
      </w:pPr>
      <w:r w:rsidRPr="00EE35F4">
        <w:rPr>
          <w:rFonts w:asciiTheme="majorHAnsi" w:hAnsiTheme="majorHAnsi"/>
        </w:rPr>
        <w:t xml:space="preserve">Being involved in department governance </w:t>
      </w:r>
    </w:p>
    <w:p w14:paraId="0739B810" w14:textId="2107E340" w:rsidR="005D3DF7" w:rsidRPr="00EE35F4" w:rsidRDefault="005D3DF7" w:rsidP="00B55FC2">
      <w:pPr>
        <w:pStyle w:val="ListParagraph"/>
        <w:numPr>
          <w:ilvl w:val="0"/>
          <w:numId w:val="52"/>
        </w:numPr>
        <w:spacing w:before="240" w:after="120"/>
        <w:rPr>
          <w:rFonts w:asciiTheme="majorHAnsi" w:hAnsiTheme="majorHAnsi"/>
        </w:rPr>
      </w:pPr>
      <w:r w:rsidRPr="00EE35F4">
        <w:rPr>
          <w:rFonts w:asciiTheme="majorHAnsi" w:hAnsiTheme="majorHAnsi"/>
        </w:rPr>
        <w:t xml:space="preserve">Being fairly treated </w:t>
      </w:r>
    </w:p>
    <w:p w14:paraId="4C56FD34" w14:textId="11BCD62F" w:rsidR="005D3DF7" w:rsidRPr="00EE35F4" w:rsidRDefault="005D3DF7" w:rsidP="005D3DF7">
      <w:pPr>
        <w:spacing w:before="240" w:after="120"/>
        <w:ind w:left="720" w:firstLine="0"/>
        <w:rPr>
          <w:rFonts w:asciiTheme="majorHAnsi" w:hAnsiTheme="majorHAnsi"/>
        </w:rPr>
      </w:pPr>
      <w:r w:rsidRPr="00EE35F4">
        <w:rPr>
          <w:rFonts w:asciiTheme="majorHAnsi" w:hAnsiTheme="majorHAnsi"/>
        </w:rPr>
        <w:t xml:space="preserve">A split response was also noted in reports of requirements by college for reapplication with 38% saying they were required to reapply annually and 42% saying they had ongoing, rolling, or multi-year appointments for which they needed not to annually reapply.  In other areas there were similar indications of clear differences in approaches by colleges, suggesting that some places were better in touch with </w:t>
      </w:r>
      <w:r w:rsidR="00905B2C" w:rsidRPr="00EE35F4">
        <w:rPr>
          <w:rFonts w:asciiTheme="majorHAnsi" w:hAnsiTheme="majorHAnsi"/>
        </w:rPr>
        <w:t>non-tenure</w:t>
      </w:r>
      <w:r w:rsidRPr="00EE35F4">
        <w:rPr>
          <w:rFonts w:asciiTheme="majorHAnsi" w:hAnsiTheme="majorHAnsi"/>
        </w:rPr>
        <w:t xml:space="preserve">-track faculty needs than were others:  </w:t>
      </w:r>
    </w:p>
    <w:p w14:paraId="403C80FE" w14:textId="77777777" w:rsidR="005D3DF7" w:rsidRPr="00EE35F4" w:rsidRDefault="005D3DF7" w:rsidP="002150FE">
      <w:pPr>
        <w:pStyle w:val="ListParagraph"/>
        <w:numPr>
          <w:ilvl w:val="0"/>
          <w:numId w:val="51"/>
        </w:numPr>
        <w:spacing w:before="120" w:after="120"/>
        <w:rPr>
          <w:rFonts w:asciiTheme="majorHAnsi" w:hAnsiTheme="majorHAnsi"/>
        </w:rPr>
      </w:pPr>
      <w:r w:rsidRPr="00EE35F4">
        <w:rPr>
          <w:rFonts w:asciiTheme="majorHAnsi" w:hAnsiTheme="majorHAnsi"/>
        </w:rPr>
        <w:t>Fair rehire/reappointment—36% yes, 25% no</w:t>
      </w:r>
    </w:p>
    <w:p w14:paraId="6C2D6697" w14:textId="49FADCEF" w:rsidR="005D3DF7" w:rsidRPr="00EE35F4" w:rsidRDefault="005D3DF7" w:rsidP="00B55FC2">
      <w:pPr>
        <w:pStyle w:val="ListParagraph"/>
        <w:numPr>
          <w:ilvl w:val="0"/>
          <w:numId w:val="51"/>
        </w:numPr>
        <w:spacing w:before="240" w:after="120"/>
        <w:rPr>
          <w:rFonts w:asciiTheme="majorHAnsi" w:hAnsiTheme="majorHAnsi"/>
        </w:rPr>
      </w:pPr>
      <w:r w:rsidRPr="00EE35F4">
        <w:rPr>
          <w:rFonts w:asciiTheme="majorHAnsi" w:hAnsiTheme="majorHAnsi"/>
        </w:rPr>
        <w:t xml:space="preserve">Availability of </w:t>
      </w:r>
      <w:r w:rsidR="00102366" w:rsidRPr="00EE35F4">
        <w:rPr>
          <w:rFonts w:asciiTheme="majorHAnsi" w:hAnsiTheme="majorHAnsi"/>
        </w:rPr>
        <w:t>promotion 34</w:t>
      </w:r>
      <w:r w:rsidRPr="00EE35F4">
        <w:rPr>
          <w:rFonts w:asciiTheme="majorHAnsi" w:hAnsiTheme="majorHAnsi"/>
        </w:rPr>
        <w:t xml:space="preserve">% yes, 41% no </w:t>
      </w:r>
    </w:p>
    <w:p w14:paraId="24C5924A" w14:textId="0A79834B" w:rsidR="005D3DF7" w:rsidRPr="00EE35F4" w:rsidRDefault="005D3DF7" w:rsidP="00B55FC2">
      <w:pPr>
        <w:pStyle w:val="ListParagraph"/>
        <w:numPr>
          <w:ilvl w:val="0"/>
          <w:numId w:val="51"/>
        </w:numPr>
        <w:spacing w:before="240" w:after="120"/>
        <w:rPr>
          <w:rFonts w:asciiTheme="majorHAnsi" w:hAnsiTheme="majorHAnsi"/>
        </w:rPr>
      </w:pPr>
      <w:r w:rsidRPr="00EE35F4">
        <w:rPr>
          <w:rFonts w:asciiTheme="majorHAnsi" w:hAnsiTheme="majorHAnsi"/>
        </w:rPr>
        <w:t>Feeling valued:  30% yes, 44% no</w:t>
      </w:r>
    </w:p>
    <w:p w14:paraId="4A89D5DB" w14:textId="4B6CD615" w:rsidR="005D3DF7" w:rsidRPr="00EE35F4" w:rsidRDefault="001A72B1" w:rsidP="00F110FF">
      <w:pPr>
        <w:spacing w:after="200" w:line="276" w:lineRule="auto"/>
        <w:ind w:firstLine="0"/>
        <w:rPr>
          <w:rFonts w:asciiTheme="majorHAnsi" w:hAnsiTheme="majorHAnsi"/>
          <w:b/>
          <w:sz w:val="28"/>
        </w:rPr>
      </w:pPr>
      <w:bookmarkStart w:id="35" w:name="h.3as4poj" w:colFirst="0" w:colLast="0"/>
      <w:bookmarkStart w:id="36" w:name="_Toc452993105"/>
      <w:bookmarkEnd w:id="35"/>
      <w:r w:rsidRPr="00EE35F4">
        <w:rPr>
          <w:rFonts w:asciiTheme="majorHAnsi" w:hAnsiTheme="majorHAnsi"/>
          <w:b/>
          <w:sz w:val="32"/>
          <w:szCs w:val="28"/>
        </w:rPr>
        <w:br w:type="page"/>
      </w:r>
      <w:r w:rsidR="005D3DF7" w:rsidRPr="00A35502">
        <w:rPr>
          <w:rFonts w:asciiTheme="majorHAnsi" w:hAnsiTheme="majorHAnsi"/>
          <w:b/>
          <w:color w:val="003300"/>
          <w:sz w:val="32"/>
          <w:szCs w:val="28"/>
        </w:rPr>
        <w:lastRenderedPageBreak/>
        <w:t>Appendix C: CoNTTF’s 2013 Proposals &amp; Recommendations in response to President Frank’s 2013 Fall Address Charge</w:t>
      </w:r>
      <w:bookmarkEnd w:id="36"/>
    </w:p>
    <w:p w14:paraId="24DE1C82" w14:textId="77777777" w:rsidR="005D3DF7" w:rsidRPr="00EE35F4" w:rsidRDefault="005D3DF7" w:rsidP="005D3DF7">
      <w:pPr>
        <w:spacing w:before="240" w:after="120"/>
        <w:rPr>
          <w:rFonts w:asciiTheme="majorHAnsi" w:hAnsiTheme="majorHAnsi"/>
          <w:sz w:val="24"/>
        </w:rPr>
      </w:pPr>
      <w:r w:rsidRPr="00EE35F4">
        <w:rPr>
          <w:rFonts w:asciiTheme="majorHAnsi" w:hAnsiTheme="majorHAnsi"/>
          <w:b/>
          <w:sz w:val="24"/>
        </w:rPr>
        <w:t>PROPOSALS AND RECOMMENDATIONS</w:t>
      </w:r>
    </w:p>
    <w:p w14:paraId="77F87AEB" w14:textId="77777777" w:rsidR="005D3DF7" w:rsidRPr="00EE35F4" w:rsidRDefault="005D3DF7" w:rsidP="005D3DF7">
      <w:pPr>
        <w:rPr>
          <w:rFonts w:asciiTheme="majorHAnsi" w:hAnsiTheme="majorHAnsi"/>
          <w:sz w:val="24"/>
        </w:rPr>
      </w:pPr>
      <w:r w:rsidRPr="00EE35F4">
        <w:rPr>
          <w:rFonts w:asciiTheme="majorHAnsi" w:hAnsiTheme="majorHAnsi"/>
          <w:b/>
          <w:sz w:val="24"/>
        </w:rPr>
        <w:t>For The Creation of an</w:t>
      </w:r>
    </w:p>
    <w:p w14:paraId="12908575" w14:textId="77777777" w:rsidR="005D3DF7" w:rsidRPr="00EE35F4" w:rsidRDefault="005D3DF7" w:rsidP="005D3DF7">
      <w:pPr>
        <w:rPr>
          <w:rFonts w:asciiTheme="majorHAnsi" w:hAnsiTheme="majorHAnsi"/>
          <w:sz w:val="24"/>
        </w:rPr>
      </w:pPr>
      <w:r w:rsidRPr="00EE35F4">
        <w:rPr>
          <w:rFonts w:asciiTheme="majorHAnsi" w:hAnsiTheme="majorHAnsi"/>
          <w:b/>
          <w:sz w:val="24"/>
        </w:rPr>
        <w:t>Exceptional Environment for Non-Tenure-Track Faculty at</w:t>
      </w:r>
    </w:p>
    <w:p w14:paraId="4D5C8530" w14:textId="77777777" w:rsidR="005D3DF7" w:rsidRPr="00EE35F4" w:rsidRDefault="005D3DF7" w:rsidP="005D3DF7">
      <w:pPr>
        <w:rPr>
          <w:rFonts w:asciiTheme="majorHAnsi" w:hAnsiTheme="majorHAnsi"/>
          <w:sz w:val="24"/>
        </w:rPr>
      </w:pPr>
      <w:r w:rsidRPr="00EE35F4">
        <w:rPr>
          <w:rFonts w:asciiTheme="majorHAnsi" w:hAnsiTheme="majorHAnsi"/>
          <w:b/>
          <w:sz w:val="24"/>
        </w:rPr>
        <w:t>Colorado State University</w:t>
      </w:r>
    </w:p>
    <w:p w14:paraId="716E584D" w14:textId="77777777" w:rsidR="005D3DF7" w:rsidRPr="00EE35F4" w:rsidRDefault="005D3DF7" w:rsidP="005D3DF7">
      <w:pPr>
        <w:spacing w:before="240" w:after="120"/>
        <w:rPr>
          <w:rFonts w:asciiTheme="majorHAnsi" w:hAnsiTheme="majorHAnsi"/>
          <w:sz w:val="24"/>
        </w:rPr>
      </w:pPr>
    </w:p>
    <w:p w14:paraId="313E8852" w14:textId="77777777" w:rsidR="005D3DF7" w:rsidRPr="00EE35F4" w:rsidRDefault="005D3DF7" w:rsidP="005D3DF7">
      <w:pPr>
        <w:rPr>
          <w:rFonts w:asciiTheme="majorHAnsi" w:hAnsiTheme="majorHAnsi"/>
          <w:sz w:val="24"/>
        </w:rPr>
      </w:pPr>
      <w:r w:rsidRPr="00EE35F4">
        <w:rPr>
          <w:rFonts w:asciiTheme="majorHAnsi" w:hAnsiTheme="majorHAnsi"/>
          <w:i/>
          <w:sz w:val="24"/>
        </w:rPr>
        <w:t>Submitted to</w:t>
      </w:r>
    </w:p>
    <w:p w14:paraId="47007F7D" w14:textId="77777777" w:rsidR="005D3DF7" w:rsidRPr="00EE35F4" w:rsidRDefault="005D3DF7" w:rsidP="005D3DF7">
      <w:pPr>
        <w:rPr>
          <w:rFonts w:asciiTheme="majorHAnsi" w:hAnsiTheme="majorHAnsi"/>
          <w:sz w:val="24"/>
        </w:rPr>
      </w:pPr>
      <w:r w:rsidRPr="00EE35F4">
        <w:rPr>
          <w:rFonts w:asciiTheme="majorHAnsi" w:hAnsiTheme="majorHAnsi"/>
          <w:sz w:val="24"/>
        </w:rPr>
        <w:t>Rick Miranda, Ph.D., Provost</w:t>
      </w:r>
    </w:p>
    <w:p w14:paraId="7927C61C" w14:textId="77777777" w:rsidR="005D3DF7" w:rsidRPr="00EE35F4" w:rsidRDefault="005D3DF7" w:rsidP="005D3DF7">
      <w:pPr>
        <w:rPr>
          <w:rFonts w:asciiTheme="majorHAnsi" w:hAnsiTheme="majorHAnsi"/>
          <w:sz w:val="24"/>
        </w:rPr>
      </w:pPr>
      <w:r w:rsidRPr="00EE35F4">
        <w:rPr>
          <w:rFonts w:asciiTheme="majorHAnsi" w:hAnsiTheme="majorHAnsi"/>
          <w:sz w:val="24"/>
        </w:rPr>
        <w:t>Dan Bush, Ph.D., Vice Provost of Faculty Affairs</w:t>
      </w:r>
    </w:p>
    <w:p w14:paraId="05E80900" w14:textId="77777777" w:rsidR="005D3DF7" w:rsidRPr="00EE35F4" w:rsidRDefault="005D3DF7" w:rsidP="005D3DF7">
      <w:pPr>
        <w:rPr>
          <w:rFonts w:asciiTheme="majorHAnsi" w:hAnsiTheme="majorHAnsi"/>
          <w:sz w:val="24"/>
        </w:rPr>
      </w:pPr>
      <w:r w:rsidRPr="00EE35F4">
        <w:rPr>
          <w:rFonts w:asciiTheme="majorHAnsi" w:hAnsiTheme="majorHAnsi"/>
          <w:sz w:val="24"/>
        </w:rPr>
        <w:t>Tim Gallagher, Ph.D., Chair of the Faculty Council</w:t>
      </w:r>
    </w:p>
    <w:p w14:paraId="31ADFCF9" w14:textId="77777777" w:rsidR="005D3DF7" w:rsidRPr="00EE35F4" w:rsidRDefault="005D3DF7" w:rsidP="005D3DF7">
      <w:pPr>
        <w:rPr>
          <w:rFonts w:asciiTheme="majorHAnsi" w:hAnsiTheme="majorHAnsi"/>
          <w:sz w:val="24"/>
        </w:rPr>
      </w:pPr>
    </w:p>
    <w:p w14:paraId="7ACEAA3B" w14:textId="77777777" w:rsidR="005D3DF7" w:rsidRPr="00EE35F4" w:rsidRDefault="005D3DF7" w:rsidP="005D3DF7">
      <w:pPr>
        <w:rPr>
          <w:rFonts w:asciiTheme="majorHAnsi" w:hAnsiTheme="majorHAnsi"/>
          <w:sz w:val="24"/>
        </w:rPr>
      </w:pPr>
      <w:r w:rsidRPr="00EE35F4">
        <w:rPr>
          <w:rFonts w:asciiTheme="majorHAnsi" w:hAnsiTheme="majorHAnsi"/>
          <w:i/>
          <w:sz w:val="24"/>
        </w:rPr>
        <w:t>By</w:t>
      </w:r>
    </w:p>
    <w:p w14:paraId="6565881A" w14:textId="77777777" w:rsidR="005D3DF7" w:rsidRPr="00EE35F4" w:rsidRDefault="005D3DF7" w:rsidP="005D3DF7">
      <w:pPr>
        <w:rPr>
          <w:rFonts w:asciiTheme="majorHAnsi" w:hAnsiTheme="majorHAnsi"/>
          <w:sz w:val="24"/>
        </w:rPr>
      </w:pPr>
      <w:r w:rsidRPr="00EE35F4">
        <w:rPr>
          <w:rFonts w:asciiTheme="majorHAnsi" w:hAnsiTheme="majorHAnsi"/>
          <w:sz w:val="24"/>
        </w:rPr>
        <w:t>Jennifer Aberle, Ph.D.</w:t>
      </w:r>
    </w:p>
    <w:p w14:paraId="0323323A" w14:textId="77777777" w:rsidR="005D3DF7" w:rsidRPr="00EE35F4" w:rsidRDefault="005D3DF7" w:rsidP="005D3DF7">
      <w:pPr>
        <w:rPr>
          <w:rFonts w:asciiTheme="majorHAnsi" w:hAnsiTheme="majorHAnsi"/>
          <w:sz w:val="24"/>
        </w:rPr>
      </w:pPr>
      <w:r w:rsidRPr="00EE35F4">
        <w:rPr>
          <w:rFonts w:asciiTheme="majorHAnsi" w:hAnsiTheme="majorHAnsi"/>
          <w:sz w:val="24"/>
        </w:rPr>
        <w:t>Senior Teaching Assistant Professor</w:t>
      </w:r>
    </w:p>
    <w:p w14:paraId="784A9A4F" w14:textId="77777777" w:rsidR="005D3DF7" w:rsidRPr="00EE35F4" w:rsidRDefault="005D3DF7" w:rsidP="005D3DF7">
      <w:pPr>
        <w:rPr>
          <w:rFonts w:asciiTheme="majorHAnsi" w:hAnsiTheme="majorHAnsi"/>
          <w:sz w:val="24"/>
        </w:rPr>
      </w:pPr>
      <w:r w:rsidRPr="00EE35F4">
        <w:rPr>
          <w:rFonts w:asciiTheme="majorHAnsi" w:hAnsiTheme="majorHAnsi"/>
          <w:sz w:val="24"/>
        </w:rPr>
        <w:t>Chair, Committee on Non-Tenure-Track Faculty</w:t>
      </w:r>
    </w:p>
    <w:p w14:paraId="610EAE3A" w14:textId="77777777" w:rsidR="005D3DF7" w:rsidRPr="00EE35F4" w:rsidRDefault="005D3DF7" w:rsidP="005D3DF7">
      <w:pPr>
        <w:rPr>
          <w:rFonts w:asciiTheme="majorHAnsi" w:hAnsiTheme="majorHAnsi"/>
          <w:sz w:val="24"/>
        </w:rPr>
      </w:pPr>
      <w:r w:rsidRPr="00EE35F4">
        <w:rPr>
          <w:rFonts w:asciiTheme="majorHAnsi" w:hAnsiTheme="majorHAnsi"/>
          <w:i/>
          <w:sz w:val="24"/>
        </w:rPr>
        <w:t>November 1, 2013</w:t>
      </w:r>
    </w:p>
    <w:p w14:paraId="0B3EDCA3" w14:textId="77777777" w:rsidR="005D3DF7" w:rsidRPr="00EE35F4" w:rsidRDefault="005D3DF7" w:rsidP="005D3DF7">
      <w:pPr>
        <w:rPr>
          <w:rFonts w:asciiTheme="majorHAnsi" w:hAnsiTheme="majorHAnsi"/>
          <w:sz w:val="24"/>
        </w:rPr>
      </w:pPr>
    </w:p>
    <w:p w14:paraId="05A30C78" w14:textId="77777777" w:rsidR="005D3DF7" w:rsidRPr="00EE35F4" w:rsidRDefault="005D3DF7" w:rsidP="005D3DF7">
      <w:pPr>
        <w:rPr>
          <w:rFonts w:asciiTheme="majorHAnsi" w:hAnsiTheme="majorHAnsi"/>
          <w:sz w:val="24"/>
        </w:rPr>
      </w:pPr>
      <w:r w:rsidRPr="00EE35F4">
        <w:rPr>
          <w:rFonts w:asciiTheme="majorHAnsi" w:hAnsiTheme="majorHAnsi"/>
          <w:i/>
          <w:sz w:val="24"/>
        </w:rPr>
        <w:t>On behalf of the</w:t>
      </w:r>
    </w:p>
    <w:p w14:paraId="5B22145C" w14:textId="77777777" w:rsidR="005D3DF7" w:rsidRPr="00EE35F4" w:rsidRDefault="005D3DF7" w:rsidP="005D3DF7">
      <w:pPr>
        <w:rPr>
          <w:rFonts w:asciiTheme="majorHAnsi" w:hAnsiTheme="majorHAnsi"/>
          <w:sz w:val="24"/>
        </w:rPr>
      </w:pPr>
      <w:r w:rsidRPr="00EE35F4">
        <w:rPr>
          <w:rFonts w:asciiTheme="majorHAnsi" w:hAnsiTheme="majorHAnsi"/>
          <w:sz w:val="24"/>
        </w:rPr>
        <w:t>Faculty Council Committee on Non-Tenure-Track Faculty</w:t>
      </w:r>
    </w:p>
    <w:p w14:paraId="4573F32D" w14:textId="77777777" w:rsidR="005D3DF7" w:rsidRPr="00EE35F4" w:rsidRDefault="005D3DF7" w:rsidP="005D3DF7">
      <w:pPr>
        <w:rPr>
          <w:rFonts w:asciiTheme="majorHAnsi" w:hAnsiTheme="majorHAnsi"/>
          <w:sz w:val="24"/>
        </w:rPr>
      </w:pPr>
      <w:r w:rsidRPr="00EE35F4">
        <w:rPr>
          <w:rFonts w:asciiTheme="majorHAnsi" w:hAnsiTheme="majorHAnsi"/>
          <w:sz w:val="24"/>
        </w:rPr>
        <w:t>Colorado State University</w:t>
      </w:r>
    </w:p>
    <w:p w14:paraId="0C44D274" w14:textId="77777777" w:rsidR="005D3DF7" w:rsidRPr="00EE35F4" w:rsidRDefault="005D3DF7" w:rsidP="005D3DF7">
      <w:pPr>
        <w:rPr>
          <w:rFonts w:asciiTheme="majorHAnsi" w:hAnsiTheme="majorHAnsi"/>
          <w:sz w:val="24"/>
        </w:rPr>
      </w:pPr>
      <w:r w:rsidRPr="00EE35F4">
        <w:rPr>
          <w:rFonts w:asciiTheme="majorHAnsi" w:hAnsiTheme="majorHAnsi"/>
          <w:i/>
          <w:sz w:val="24"/>
        </w:rPr>
        <w:t>Natalie Barnes, Joseph DiVerdi, Torsten Eckstein, Richard Eykholt,</w:t>
      </w:r>
    </w:p>
    <w:p w14:paraId="474A5C18" w14:textId="77777777" w:rsidR="005D3DF7" w:rsidRPr="00EE35F4" w:rsidRDefault="005D3DF7" w:rsidP="005D3DF7">
      <w:pPr>
        <w:rPr>
          <w:rFonts w:asciiTheme="majorHAnsi" w:hAnsiTheme="majorHAnsi"/>
          <w:sz w:val="24"/>
        </w:rPr>
      </w:pPr>
      <w:r w:rsidRPr="00EE35F4">
        <w:rPr>
          <w:rFonts w:asciiTheme="majorHAnsi" w:hAnsiTheme="majorHAnsi"/>
          <w:i/>
          <w:sz w:val="24"/>
        </w:rPr>
        <w:t>Lori Kogan, Steven Schaeffer, &amp; Laura Thomas</w:t>
      </w:r>
    </w:p>
    <w:p w14:paraId="0ABBE827" w14:textId="77777777" w:rsidR="005D3DF7" w:rsidRPr="00EE35F4" w:rsidRDefault="005D3DF7" w:rsidP="005D3DF7">
      <w:pPr>
        <w:spacing w:before="240" w:after="120"/>
        <w:rPr>
          <w:rFonts w:asciiTheme="majorHAnsi" w:hAnsiTheme="majorHAnsi"/>
          <w:sz w:val="24"/>
        </w:rPr>
      </w:pPr>
    </w:p>
    <w:p w14:paraId="65C5D511" w14:textId="77777777" w:rsidR="005D3DF7" w:rsidRPr="00EE35F4" w:rsidRDefault="005D3DF7" w:rsidP="00884872">
      <w:pPr>
        <w:spacing w:before="240" w:after="120"/>
        <w:ind w:firstLine="0"/>
        <w:rPr>
          <w:rFonts w:asciiTheme="majorHAnsi" w:hAnsiTheme="majorHAnsi"/>
        </w:rPr>
      </w:pPr>
      <w:r w:rsidRPr="00EE35F4">
        <w:rPr>
          <w:rFonts w:asciiTheme="majorHAnsi" w:hAnsiTheme="majorHAnsi"/>
        </w:rPr>
        <w:t>The Non-Tenure-Track Faculty (NTTF) at Colorado State University have long been essential to the University’s mission. They contribute positively to the University community and experience, and, in turn, have earned recognition and inclusion in the responsibility, benefits, and privileges of building the knowledge and human capital for the public good. Historically, a wide gulf separates the rights and responsibilities of Tenure-Track Faculty (TTF) and Non-Tenure-Track Faculty (NTTF) at CSU. With changing external pressures and internal values, as well as growing sensitivity to social imbalances and to the associations between teaching conditions and student success, the members of our University community appear poised to effect significant change in the status and working conditions of NTTF. If we can enact such change, CSU can become a leader in fair-minded academic labor practices, which can only improve the conditions of learning and inquiry for all.</w:t>
      </w:r>
    </w:p>
    <w:p w14:paraId="718BD027" w14:textId="77777777" w:rsidR="005D3DF7" w:rsidRPr="00EE35F4" w:rsidRDefault="005D3DF7" w:rsidP="00884872">
      <w:pPr>
        <w:spacing w:before="240" w:after="120"/>
        <w:ind w:firstLine="0"/>
        <w:rPr>
          <w:rFonts w:asciiTheme="majorHAnsi" w:hAnsiTheme="majorHAnsi"/>
        </w:rPr>
      </w:pPr>
      <w:r w:rsidRPr="00EE35F4">
        <w:rPr>
          <w:rFonts w:asciiTheme="majorHAnsi" w:hAnsiTheme="majorHAnsi"/>
        </w:rPr>
        <w:t>Efforts toward greater equity have gathered momentum on campus over the past decade. Our committee is but one notable example of the progress already underway. With this document, we accept the charge offered by President Frank in his fall address: “</w:t>
      </w:r>
      <w:r w:rsidRPr="00EE35F4">
        <w:rPr>
          <w:rFonts w:asciiTheme="majorHAnsi" w:hAnsiTheme="majorHAnsi"/>
          <w:color w:val="2E2E2E"/>
        </w:rPr>
        <w:t>to take our focus on adjuncts to the next level and continue to make improvements in these core areas [job security, decent pay and benefits, opportunities for advancement, and above all else, respect].”</w:t>
      </w:r>
    </w:p>
    <w:p w14:paraId="1BBD665A" w14:textId="77777777" w:rsidR="005D3DF7" w:rsidRPr="00EE35F4" w:rsidRDefault="005D3DF7" w:rsidP="00884872">
      <w:pPr>
        <w:spacing w:before="240" w:after="120"/>
        <w:ind w:firstLine="0"/>
        <w:rPr>
          <w:rFonts w:asciiTheme="majorHAnsi" w:hAnsiTheme="majorHAnsi"/>
        </w:rPr>
      </w:pPr>
      <w:r w:rsidRPr="00EE35F4">
        <w:rPr>
          <w:rFonts w:asciiTheme="majorHAnsi" w:hAnsiTheme="majorHAnsi"/>
        </w:rPr>
        <w:t xml:space="preserve">The Committee on Non-Tenure-Track Faculty (CoNTTF) also joins in common cause with the parallel movement toward improved conditions, the </w:t>
      </w:r>
      <w:r w:rsidRPr="00EE35F4">
        <w:rPr>
          <w:rFonts w:asciiTheme="majorHAnsi" w:hAnsiTheme="majorHAnsi"/>
          <w:i/>
        </w:rPr>
        <w:t>Ripple Effect</w:t>
      </w:r>
      <w:r w:rsidRPr="00EE35F4">
        <w:rPr>
          <w:rFonts w:asciiTheme="majorHAnsi" w:hAnsiTheme="majorHAnsi"/>
        </w:rPr>
        <w:t xml:space="preserve"> campaign. We join all efforts to support and to create an exceptional workplace of equality and non-discriminatory practices. The goals of the </w:t>
      </w:r>
      <w:r w:rsidRPr="00EE35F4">
        <w:rPr>
          <w:rFonts w:asciiTheme="majorHAnsi" w:hAnsiTheme="majorHAnsi"/>
          <w:i/>
        </w:rPr>
        <w:t xml:space="preserve">Ripple Effect </w:t>
      </w:r>
      <w:r w:rsidRPr="00EE35F4">
        <w:rPr>
          <w:rFonts w:asciiTheme="majorHAnsi" w:hAnsiTheme="majorHAnsi"/>
        </w:rPr>
        <w:t xml:space="preserve">campaign and of NTTF are inextricably linked, as more than 60% </w:t>
      </w:r>
      <w:r w:rsidRPr="00EE35F4">
        <w:rPr>
          <w:rFonts w:asciiTheme="majorHAnsi" w:hAnsiTheme="majorHAnsi"/>
        </w:rPr>
        <w:lastRenderedPageBreak/>
        <w:t>of non-tenure-track faculty are women. The CoNTTF sincerely wishes to participate in and promote change in a responsible and insightful manner. This document is a concerted and systematic step toward the shared objective of an exceptional workplace and learning environment. The CoNTTF, as representatives of the NTTF community, hopes to work together with our faculty colleagues and with the Administration to elevate our academic homestead to higher ground.</w:t>
      </w:r>
    </w:p>
    <w:p w14:paraId="4C0C39AD" w14:textId="77777777" w:rsidR="005D3DF7" w:rsidRPr="00EE35F4" w:rsidRDefault="005D3DF7" w:rsidP="00884872">
      <w:pPr>
        <w:spacing w:before="240" w:after="120"/>
        <w:ind w:firstLine="0"/>
        <w:rPr>
          <w:rFonts w:asciiTheme="majorHAnsi" w:hAnsiTheme="majorHAnsi"/>
        </w:rPr>
      </w:pPr>
      <w:r w:rsidRPr="00EE35F4">
        <w:rPr>
          <w:rFonts w:asciiTheme="majorHAnsi" w:hAnsiTheme="majorHAnsi"/>
        </w:rPr>
        <w:t xml:space="preserve">A short list of the issues that will be addressed either in the following document or in the future include (1) commensurate compensation, (2) freedom from the fear of "unwarranted" dismissal, (3) recognition of our contributions to teaching, service, and research, (4) visibility and justice in professional and intellectual advancement, (5) meaningful participation in governance and (6) congruent procedures across campus regarding faculty, regardless of appointment type or the unit in which they serve </w:t>
      </w:r>
    </w:p>
    <w:p w14:paraId="0C0D776B" w14:textId="77777777" w:rsidR="005D3DF7" w:rsidRPr="00EE35F4" w:rsidRDefault="005D3DF7" w:rsidP="00884872">
      <w:pPr>
        <w:spacing w:before="240" w:after="120"/>
        <w:ind w:firstLine="0"/>
        <w:rPr>
          <w:rFonts w:asciiTheme="majorHAnsi" w:hAnsiTheme="majorHAnsi"/>
        </w:rPr>
      </w:pPr>
      <w:r w:rsidRPr="00EE35F4">
        <w:rPr>
          <w:rFonts w:asciiTheme="majorHAnsi" w:hAnsiTheme="majorHAnsi"/>
        </w:rPr>
        <w:t xml:space="preserve">We recognize that the transformation of the University culture to one where NTTF are treated and viewed as equal and valuable members of the community cannot be legislated and will require the passage of considerable time. We suggest, however, that structural changes will facilitate the needed cultural shift. </w:t>
      </w:r>
    </w:p>
    <w:p w14:paraId="6B5E064B" w14:textId="77777777" w:rsidR="005D3DF7" w:rsidRPr="00EE35F4" w:rsidRDefault="005D3DF7" w:rsidP="005D3DF7">
      <w:pPr>
        <w:spacing w:before="240" w:after="120"/>
        <w:rPr>
          <w:rFonts w:asciiTheme="majorHAnsi" w:hAnsiTheme="majorHAnsi"/>
        </w:rPr>
      </w:pPr>
      <w:r w:rsidRPr="00EE35F4">
        <w:rPr>
          <w:rFonts w:asciiTheme="majorHAnsi" w:hAnsiTheme="majorHAnsi"/>
          <w:b/>
        </w:rPr>
        <w:t>Rights and Responsibilities</w:t>
      </w:r>
    </w:p>
    <w:p w14:paraId="11244A7C" w14:textId="77777777" w:rsidR="005D3DF7" w:rsidRPr="00EE35F4" w:rsidRDefault="005D3DF7" w:rsidP="00B55FC2">
      <w:pPr>
        <w:numPr>
          <w:ilvl w:val="0"/>
          <w:numId w:val="32"/>
        </w:numPr>
        <w:spacing w:before="240" w:after="120"/>
        <w:ind w:hanging="360"/>
        <w:rPr>
          <w:rFonts w:asciiTheme="majorHAnsi" w:hAnsiTheme="majorHAnsi"/>
        </w:rPr>
      </w:pPr>
      <w:r w:rsidRPr="00EE35F4">
        <w:rPr>
          <w:rFonts w:asciiTheme="majorHAnsi" w:hAnsiTheme="majorHAnsi"/>
        </w:rPr>
        <w:t>Governance: Change the status of CoNTTF from an Advisory Committee to a Standing Committee. The Committee on Faculty Governance (CoFG) is currently working with the Committee on Non-Tenure-Track Faculty (CoNTTF) on a proposal to do so.</w:t>
      </w:r>
    </w:p>
    <w:p w14:paraId="384A256E" w14:textId="77777777" w:rsidR="005D3DF7" w:rsidRPr="00EE35F4" w:rsidRDefault="005D3DF7" w:rsidP="005D3DF7">
      <w:pPr>
        <w:spacing w:before="240" w:after="120"/>
        <w:ind w:left="720" w:firstLine="0"/>
        <w:rPr>
          <w:rFonts w:asciiTheme="majorHAnsi" w:hAnsiTheme="majorHAnsi"/>
        </w:rPr>
      </w:pPr>
      <w:r w:rsidRPr="00EE35F4">
        <w:rPr>
          <w:rFonts w:asciiTheme="majorHAnsi" w:hAnsiTheme="majorHAnsi"/>
        </w:rPr>
        <w:t>All Non-Tenure-Track Faculty (NTTF) on Special or Senior Teaching appointments, with the exception of currently enrolled graduate students on a Special appointment, be given the right and opportunity to vote for their departments' Faculty Council representatives and for their Colleges' at-large representatives. CoNTTF will propose this change to Faculty Council through CoFG.</w:t>
      </w:r>
    </w:p>
    <w:p w14:paraId="0F8AB126" w14:textId="77777777" w:rsidR="005D3DF7" w:rsidRPr="00EE35F4" w:rsidRDefault="005D3DF7" w:rsidP="005D3DF7">
      <w:pPr>
        <w:spacing w:before="240" w:after="120"/>
        <w:ind w:left="720" w:firstLine="0"/>
        <w:rPr>
          <w:rFonts w:asciiTheme="majorHAnsi" w:hAnsiTheme="majorHAnsi"/>
        </w:rPr>
      </w:pPr>
      <w:r w:rsidRPr="00EE35F4">
        <w:rPr>
          <w:rFonts w:asciiTheme="majorHAnsi" w:hAnsiTheme="majorHAnsi"/>
        </w:rPr>
        <w:t>NTTF faculty with Senior Teaching Appointments be eligible to serve as department and college representatives on Faculty Council and its committees. CoNTTF will propose this change to CoFG, as well.</w:t>
      </w:r>
    </w:p>
    <w:p w14:paraId="56BABD85" w14:textId="77777777" w:rsidR="005D3DF7" w:rsidRPr="00EE35F4" w:rsidRDefault="005D3DF7" w:rsidP="00B55FC2">
      <w:pPr>
        <w:numPr>
          <w:ilvl w:val="0"/>
          <w:numId w:val="32"/>
        </w:numPr>
        <w:spacing w:before="240" w:after="120"/>
        <w:ind w:hanging="360"/>
        <w:rPr>
          <w:rFonts w:asciiTheme="majorHAnsi" w:hAnsiTheme="majorHAnsi"/>
        </w:rPr>
      </w:pPr>
      <w:r w:rsidRPr="00EE35F4">
        <w:rPr>
          <w:rFonts w:asciiTheme="majorHAnsi" w:hAnsiTheme="majorHAnsi"/>
        </w:rPr>
        <w:t>Grievance: NTTF have access to a formal Grievance Process at CSU, to include the right to grieve unjust termination. CoNTTF proposes that the Administration address the terminations of temporary and special faculty that are not recognized as official terminations but rather non-renewals without a clear justification. CoNTTF will propose an option to Faculty Council to address unjust termination.</w:t>
      </w:r>
    </w:p>
    <w:p w14:paraId="5505726E" w14:textId="77777777" w:rsidR="005D3DF7" w:rsidRPr="00EE35F4" w:rsidRDefault="005D3DF7" w:rsidP="00B55FC2">
      <w:pPr>
        <w:numPr>
          <w:ilvl w:val="0"/>
          <w:numId w:val="32"/>
        </w:numPr>
        <w:spacing w:before="240" w:after="120"/>
        <w:ind w:hanging="360"/>
        <w:rPr>
          <w:rFonts w:asciiTheme="majorHAnsi" w:hAnsiTheme="majorHAnsi"/>
        </w:rPr>
      </w:pPr>
      <w:r w:rsidRPr="00EE35F4">
        <w:rPr>
          <w:rFonts w:asciiTheme="majorHAnsi" w:hAnsiTheme="majorHAnsi"/>
        </w:rPr>
        <w:t xml:space="preserve">Academic Freedom: CoNTTF recommends that NTTF at CSU be sent a statement signed by the President and the Provost supporting and upholding NTTF'S academic freedom. (In doing so, we believe the Administration is formally recognizing the connection between the Faculty’s rights and responsibilities in the classroom and the students’ learning environment.) </w:t>
      </w:r>
    </w:p>
    <w:p w14:paraId="4D03BB01" w14:textId="77777777" w:rsidR="005D3DF7" w:rsidRPr="00EE35F4" w:rsidRDefault="005D3DF7" w:rsidP="005D3DF7">
      <w:pPr>
        <w:spacing w:before="240" w:after="120"/>
        <w:ind w:left="720" w:firstLine="0"/>
        <w:rPr>
          <w:rFonts w:asciiTheme="majorHAnsi" w:hAnsiTheme="majorHAnsi"/>
        </w:rPr>
      </w:pPr>
      <w:r w:rsidRPr="00EE35F4">
        <w:rPr>
          <w:rFonts w:asciiTheme="majorHAnsi" w:hAnsiTheme="majorHAnsi"/>
        </w:rPr>
        <w:t xml:space="preserve">CoNTTF recommends that all NTT research faculty be sent a statement signed by the President and the Provost supporting and upholding NTT research faculty’s academic freedom. (In doing so, we believe the Administration is formally recognizing the connection between the Faculty’s rights and responsibilities in the laboratory/field and the goals of a research institution.) </w:t>
      </w:r>
    </w:p>
    <w:p w14:paraId="2329F56C" w14:textId="77777777" w:rsidR="005D3DF7" w:rsidRPr="00EE35F4" w:rsidRDefault="005D3DF7" w:rsidP="00B55FC2">
      <w:pPr>
        <w:numPr>
          <w:ilvl w:val="0"/>
          <w:numId w:val="32"/>
        </w:numPr>
        <w:spacing w:before="240" w:after="120"/>
        <w:ind w:hanging="360"/>
        <w:rPr>
          <w:rFonts w:asciiTheme="majorHAnsi" w:hAnsiTheme="majorHAnsi"/>
        </w:rPr>
      </w:pPr>
      <w:r w:rsidRPr="00EE35F4">
        <w:rPr>
          <w:rFonts w:asciiTheme="majorHAnsi" w:hAnsiTheme="majorHAnsi"/>
        </w:rPr>
        <w:t xml:space="preserve">Job Descriptions and Offer Letters: CoNTTF recommends that all departments use and keep a record of only Human Resources approved job descriptions and offer letters for </w:t>
      </w:r>
      <w:r w:rsidRPr="00EE35F4">
        <w:rPr>
          <w:rFonts w:asciiTheme="majorHAnsi" w:hAnsiTheme="majorHAnsi"/>
        </w:rPr>
        <w:lastRenderedPageBreak/>
        <w:t>all NTTF, and that a regularized process be developed to ensure departments use these documents in the hiring process and evaluation processes.</w:t>
      </w:r>
    </w:p>
    <w:p w14:paraId="1BB904D5" w14:textId="77777777" w:rsidR="005D3DF7" w:rsidRPr="00EE35F4" w:rsidRDefault="005D3DF7" w:rsidP="005D3DF7">
      <w:pPr>
        <w:spacing w:before="240" w:after="120"/>
        <w:rPr>
          <w:rFonts w:asciiTheme="majorHAnsi" w:hAnsiTheme="majorHAnsi"/>
        </w:rPr>
      </w:pPr>
      <w:r w:rsidRPr="00EE35F4">
        <w:rPr>
          <w:rFonts w:asciiTheme="majorHAnsi" w:hAnsiTheme="majorHAnsi"/>
          <w:b/>
        </w:rPr>
        <w:t>Recognition and Professionalization</w:t>
      </w:r>
    </w:p>
    <w:p w14:paraId="23FB15A1" w14:textId="77777777" w:rsidR="005D3DF7" w:rsidRPr="00EE35F4" w:rsidRDefault="005D3DF7" w:rsidP="00B55FC2">
      <w:pPr>
        <w:numPr>
          <w:ilvl w:val="0"/>
          <w:numId w:val="30"/>
        </w:numPr>
        <w:spacing w:before="240" w:after="120"/>
        <w:ind w:hanging="360"/>
        <w:rPr>
          <w:rFonts w:asciiTheme="majorHAnsi" w:hAnsiTheme="majorHAnsi"/>
        </w:rPr>
      </w:pPr>
      <w:r w:rsidRPr="00EE35F4">
        <w:rPr>
          <w:rFonts w:asciiTheme="majorHAnsi" w:hAnsiTheme="majorHAnsi"/>
        </w:rPr>
        <w:t>Compensation: CoNTTF proposes that Faculty Council pass a resolution in support of reducing the salary gap between NTTF at CSU and the National average salary for NTTF.</w:t>
      </w:r>
    </w:p>
    <w:p w14:paraId="72798871"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i/>
        </w:rPr>
        <w:t>Raise and Regularize the Base Salary Rate</w:t>
      </w:r>
    </w:p>
    <w:p w14:paraId="3B7457C7"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CoNTTF recommends that the base salary for NTTF be part of every ensuing salary exercise and that NTTF salary increases keep pace with Tenure-Track Faculty (TTF) salary increases.</w:t>
      </w:r>
    </w:p>
    <w:p w14:paraId="79584987"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Eliminate the Salary Gap between the average NTTF Faculty salary at CSU and the National average salary for NTTF</w:t>
      </w:r>
    </w:p>
    <w:p w14:paraId="4B09B0E2"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 xml:space="preserve">CoNTTF recommends that current NTTF salary be raised to exceed the national average for NTTF faculty at Public Colleges. Currently, the average salary for NTTF with a 9-month instructor appointment at public colleges is $46,926 (American Association of University Professors). As well, the Modern Language Association recommends a per-course base at about $7,000. Currently, the average salary for NTTF on a 9-month special appointment is $38,774, and full-time NTTF can be paid a base salary under $33,000. The data suggests that CSU is on the lower end of pay for NTTF at a base rate. </w:t>
      </w:r>
    </w:p>
    <w:p w14:paraId="4DD3BD38"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 xml:space="preserve">Therefore, it is our recommendation that: </w:t>
      </w:r>
    </w:p>
    <w:p w14:paraId="4F0EF57E"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 xml:space="preserve">A salary rate for NTTF be developed based on job descriptions (i.e., duties to be performed), degrees held, experience, and merit. </w:t>
      </w:r>
    </w:p>
    <w:p w14:paraId="0BECCF0C"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 xml:space="preserve">Full-time NTTF should be paid at least 80% of the National average salary for Assistant Professors with a similar degree in a similar field at peer public institutions. Currently, the average salaries for all fields are: Doctoral = $73,212 &amp; Master’s = $61,041. </w:t>
      </w:r>
    </w:p>
    <w:p w14:paraId="16CFC4E5"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 xml:space="preserve">Therefore, the proposed base salaries for CSU NTTF would be: Doctoral = $58,569 &amp; Master’s = $48,832. We propose that this increase to the base salary of NTTF be implemented incrementally over the next 2-3 years. It is our intention in making these recommendations to: </w:t>
      </w:r>
    </w:p>
    <w:p w14:paraId="3BC14E3F"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Differentiate NTTF salaries by degree, experience, and merit, just like TTF salaries</w:t>
      </w:r>
    </w:p>
    <w:p w14:paraId="01E3A48D"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 xml:space="preserve">Raise the base per section pay by at least 50% (from $4K to $6K per course) </w:t>
      </w:r>
    </w:p>
    <w:p w14:paraId="152C6AA6"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Raise the salary (for salaried NTTF) &amp; STA conversion by an equivalent amount.</w:t>
      </w:r>
    </w:p>
    <w:p w14:paraId="64042956"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CoNTTF recommends that the Provost’s Office support an automatic 5% raise for all faculty upon conversion to STA.</w:t>
      </w:r>
    </w:p>
    <w:p w14:paraId="0EB2C095"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 xml:space="preserve">CoNTTF recommends that long-standing NTT research faculty be offered contracts that protect base salary during temporary interruptions of funding. </w:t>
      </w:r>
    </w:p>
    <w:p w14:paraId="7A92BCA9" w14:textId="77777777" w:rsidR="005D3DF7" w:rsidRPr="00EE35F4" w:rsidRDefault="005D3DF7" w:rsidP="00B55FC2">
      <w:pPr>
        <w:numPr>
          <w:ilvl w:val="0"/>
          <w:numId w:val="30"/>
        </w:numPr>
        <w:spacing w:before="240" w:after="120"/>
        <w:ind w:hanging="360"/>
        <w:rPr>
          <w:rFonts w:asciiTheme="majorHAnsi" w:hAnsiTheme="majorHAnsi"/>
        </w:rPr>
      </w:pPr>
      <w:r w:rsidRPr="00EE35F4">
        <w:rPr>
          <w:rFonts w:asciiTheme="majorHAnsi" w:hAnsiTheme="majorHAnsi"/>
        </w:rPr>
        <w:t>Senior Teaching Appointments (STAs): Regularization of the STA application and conversion process</w:t>
      </w:r>
    </w:p>
    <w:p w14:paraId="6A5CA9DC"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lastRenderedPageBreak/>
        <w:t>CoNTTF recommends that the Provost’s office develop an approach to regularize the application and conversion procedures of Special Appointment faculty to Senior Teaching faculty. This could encourage and support departments’ ability to convert their faculty in a more consistent, effective, and timely manner.)</w:t>
      </w:r>
    </w:p>
    <w:p w14:paraId="7FED5088"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Eligibility of candidates for STA</w:t>
      </w:r>
    </w:p>
    <w:p w14:paraId="4E377C06"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CoNTTF recommends that the Provost’s Office establish and enforce a timetable for eligible special faculty to be given the opportunity to apply for a Senior Teaching appointment. (In this way, it will be expected that all eligible candidates for a Senior Teaching Faculty Appointment will have the opportunity to apply, regardless of departmental preference for certain faculty over others.)</w:t>
      </w:r>
    </w:p>
    <w:p w14:paraId="419DCD84"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Sabbatical for STA</w:t>
      </w:r>
    </w:p>
    <w:p w14:paraId="5DE22AE6"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CoNTTF recommends that the faculty on Senior Teaching appointments be offered an opportunity to apply for and participate in the Sabbatical process. (This is the case at CU-Boulder.)</w:t>
      </w:r>
    </w:p>
    <w:p w14:paraId="4894B39D"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Inclusion in College and Departmental functioning beyond the minimum required by the current Faculty Manual</w:t>
      </w:r>
    </w:p>
    <w:p w14:paraId="0BBB63C2"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CoNTTF recommends that Colleges and Departments include STA faculty on search committees for the Department or College, in curriculum decisions, and in functions sponsored by the College and /or Departments whenever possible.</w:t>
      </w:r>
    </w:p>
    <w:p w14:paraId="16A8BBC4" w14:textId="77777777" w:rsidR="005D3DF7" w:rsidRPr="00EE35F4" w:rsidRDefault="005D3DF7" w:rsidP="00B55FC2">
      <w:pPr>
        <w:numPr>
          <w:ilvl w:val="0"/>
          <w:numId w:val="30"/>
        </w:numPr>
        <w:spacing w:before="240" w:after="120"/>
        <w:ind w:hanging="360"/>
        <w:rPr>
          <w:rFonts w:asciiTheme="majorHAnsi" w:hAnsiTheme="majorHAnsi"/>
        </w:rPr>
      </w:pPr>
      <w:r w:rsidRPr="00EE35F4">
        <w:rPr>
          <w:rFonts w:asciiTheme="majorHAnsi" w:hAnsiTheme="majorHAnsi"/>
        </w:rPr>
        <w:t>Multi-Year Contracts for NTTF: A mandate that Multi-Year Contracts be used for all STA faculty.</w:t>
      </w:r>
    </w:p>
    <w:p w14:paraId="623807D2"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i/>
        </w:rPr>
        <w:t>Regularization of the use of Multi-Year Contracts</w:t>
      </w:r>
    </w:p>
    <w:p w14:paraId="1A90F748"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CoNTTF recommends that the Provost office regularize the application and use of Multi-Year Contracts for NTTF and encourage their use in departments that employ NTTF. (In this way, we suggest that a standard process be developed to support and encourage departments’ utilization of these contracts.)</w:t>
      </w:r>
    </w:p>
    <w:p w14:paraId="466B3F86"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Eligibility of candidates for Multi-Year Contracts</w:t>
      </w:r>
    </w:p>
    <w:p w14:paraId="1B70E4A1"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 xml:space="preserve">CoNTTF recommends that the Provost’s Office establish and enforce guidelines and recommendations for the implementation of the Multi-Year Contract. </w:t>
      </w:r>
    </w:p>
    <w:p w14:paraId="1D8D94CF" w14:textId="1350237B" w:rsidR="001A4536" w:rsidRPr="00082388" w:rsidRDefault="005D3DF7" w:rsidP="00082388">
      <w:pPr>
        <w:numPr>
          <w:ilvl w:val="0"/>
          <w:numId w:val="30"/>
        </w:numPr>
        <w:spacing w:before="240" w:after="120"/>
        <w:ind w:hanging="360"/>
        <w:rPr>
          <w:rFonts w:asciiTheme="majorHAnsi" w:hAnsiTheme="majorHAnsi"/>
        </w:rPr>
      </w:pPr>
      <w:r w:rsidRPr="00EE35F4">
        <w:rPr>
          <w:rFonts w:asciiTheme="majorHAnsi" w:hAnsiTheme="majorHAnsi"/>
        </w:rPr>
        <w:t xml:space="preserve">Listing of NTT faculty on College and Department websites: CoNTTF recommends that the Provost’s Office promote a more equitable </w:t>
      </w:r>
      <w:r w:rsidRPr="00EE35F4">
        <w:rPr>
          <w:rFonts w:asciiTheme="majorHAnsi" w:hAnsiTheme="majorHAnsi"/>
          <w:i/>
        </w:rPr>
        <w:t>culture</w:t>
      </w:r>
      <w:r w:rsidRPr="00EE35F4">
        <w:rPr>
          <w:rFonts w:asciiTheme="majorHAnsi" w:hAnsiTheme="majorHAnsi"/>
        </w:rPr>
        <w:t xml:space="preserve"> in which the standard practice is that all faculty members are listed on departmental websites without a separation between TTF and NTTF.</w:t>
      </w:r>
    </w:p>
    <w:p w14:paraId="6F76B96B" w14:textId="607FAFF1" w:rsidR="005D3DF7" w:rsidRPr="00EE35F4" w:rsidRDefault="005D3DF7" w:rsidP="00082388">
      <w:pPr>
        <w:spacing w:before="240" w:after="120"/>
        <w:rPr>
          <w:rFonts w:asciiTheme="majorHAnsi" w:hAnsiTheme="majorHAnsi"/>
        </w:rPr>
      </w:pPr>
      <w:r w:rsidRPr="00EE35F4">
        <w:rPr>
          <w:rFonts w:asciiTheme="majorHAnsi" w:hAnsiTheme="majorHAnsi"/>
          <w:b/>
        </w:rPr>
        <w:t>Human Resource Office</w:t>
      </w:r>
    </w:p>
    <w:p w14:paraId="38B41EE7" w14:textId="77777777" w:rsidR="005D3DF7" w:rsidRPr="00EE35F4" w:rsidRDefault="005D3DF7" w:rsidP="00B55FC2">
      <w:pPr>
        <w:numPr>
          <w:ilvl w:val="0"/>
          <w:numId w:val="47"/>
        </w:numPr>
        <w:spacing w:before="240" w:after="120"/>
        <w:ind w:left="360" w:hanging="360"/>
        <w:rPr>
          <w:rFonts w:asciiTheme="majorHAnsi" w:hAnsiTheme="majorHAnsi"/>
        </w:rPr>
      </w:pPr>
      <w:r w:rsidRPr="00EE35F4">
        <w:rPr>
          <w:rFonts w:asciiTheme="majorHAnsi" w:hAnsiTheme="majorHAnsi"/>
        </w:rPr>
        <w:t>HR’s organization of NTTF information</w:t>
      </w:r>
    </w:p>
    <w:p w14:paraId="71126672"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i/>
        </w:rPr>
        <w:t>Currently, the HR Dept. lists the Senior Teaching Appointment as a “Special STA”. This is incorrect, as STA is a distinct appointment type. To distinguish the STA, we request that the HR Dept. create a separate and accurate category for Senior Teaching Appointment Faculty.</w:t>
      </w:r>
    </w:p>
    <w:p w14:paraId="69F11E25" w14:textId="77777777" w:rsidR="005D3DF7" w:rsidRPr="00EE35F4" w:rsidRDefault="005D3DF7" w:rsidP="00B55FC2">
      <w:pPr>
        <w:numPr>
          <w:ilvl w:val="0"/>
          <w:numId w:val="47"/>
        </w:numPr>
        <w:spacing w:before="240" w:after="120"/>
        <w:ind w:left="360" w:hanging="360"/>
        <w:rPr>
          <w:rFonts w:asciiTheme="majorHAnsi" w:hAnsiTheme="majorHAnsi"/>
          <w:i/>
        </w:rPr>
      </w:pPr>
      <w:r w:rsidRPr="00EE35F4">
        <w:rPr>
          <w:rFonts w:asciiTheme="majorHAnsi" w:hAnsiTheme="majorHAnsi"/>
          <w:i/>
        </w:rPr>
        <w:lastRenderedPageBreak/>
        <w:t>CoNTTF recommends that the Provost’s Office task the HR department with collecting data and contact information for NTTF for easier communication and tracking purposes. Immediate availability of a listserv of NTTF would be an excellent first step.</w:t>
      </w:r>
    </w:p>
    <w:p w14:paraId="621E5FA9" w14:textId="77777777" w:rsidR="005D3DF7" w:rsidRPr="00EE35F4" w:rsidRDefault="005D3DF7" w:rsidP="00B55FC2">
      <w:pPr>
        <w:numPr>
          <w:ilvl w:val="0"/>
          <w:numId w:val="47"/>
        </w:numPr>
        <w:spacing w:before="240" w:after="120"/>
        <w:ind w:left="360" w:hanging="360"/>
        <w:rPr>
          <w:rFonts w:asciiTheme="majorHAnsi" w:hAnsiTheme="majorHAnsi"/>
        </w:rPr>
      </w:pPr>
      <w:r w:rsidRPr="00EE35F4">
        <w:rPr>
          <w:rFonts w:asciiTheme="majorHAnsi" w:hAnsiTheme="majorHAnsi"/>
        </w:rPr>
        <w:t>Conversion from Temporary Faculty to Special Faculty</w:t>
      </w:r>
    </w:p>
    <w:p w14:paraId="4248B7A7" w14:textId="77777777" w:rsidR="005D3DF7" w:rsidRPr="00EE35F4" w:rsidRDefault="005D3DF7" w:rsidP="00B55FC2">
      <w:pPr>
        <w:numPr>
          <w:ilvl w:val="0"/>
          <w:numId w:val="47"/>
        </w:numPr>
        <w:spacing w:before="240" w:after="120"/>
        <w:ind w:left="360" w:hanging="360"/>
        <w:rPr>
          <w:rFonts w:asciiTheme="majorHAnsi" w:hAnsiTheme="majorHAnsi"/>
        </w:rPr>
      </w:pPr>
      <w:r w:rsidRPr="00EE35F4">
        <w:rPr>
          <w:rFonts w:asciiTheme="majorHAnsi" w:hAnsiTheme="majorHAnsi"/>
        </w:rPr>
        <w:t>CoNTTF recommends that HR develop a system to ensure NTTF are converted to Special Appointments after two consecutive semesters of employment or three of four semesters of total employment. The limitations in the Faculty Manual on the use of the Temporary appointment type are often not followed.</w:t>
      </w:r>
    </w:p>
    <w:p w14:paraId="7ABA52AA" w14:textId="77777777" w:rsidR="005D3DF7" w:rsidRPr="00EE35F4" w:rsidRDefault="005D3DF7" w:rsidP="00B55FC2">
      <w:pPr>
        <w:numPr>
          <w:ilvl w:val="0"/>
          <w:numId w:val="47"/>
        </w:numPr>
        <w:spacing w:before="240" w:after="120"/>
        <w:ind w:left="360" w:hanging="360"/>
        <w:rPr>
          <w:rFonts w:asciiTheme="majorHAnsi" w:hAnsiTheme="majorHAnsi"/>
        </w:rPr>
      </w:pPr>
      <w:r w:rsidRPr="00EE35F4">
        <w:rPr>
          <w:rFonts w:asciiTheme="majorHAnsi" w:hAnsiTheme="majorHAnsi"/>
        </w:rPr>
        <w:t>Conversion of NTTF to TTF</w:t>
      </w:r>
    </w:p>
    <w:p w14:paraId="59022B28" w14:textId="77777777" w:rsidR="005D3DF7" w:rsidRPr="00EE35F4" w:rsidRDefault="005D3DF7" w:rsidP="00B55FC2">
      <w:pPr>
        <w:numPr>
          <w:ilvl w:val="0"/>
          <w:numId w:val="47"/>
        </w:numPr>
        <w:spacing w:before="240" w:after="120"/>
        <w:ind w:left="360" w:hanging="360"/>
        <w:rPr>
          <w:rFonts w:asciiTheme="majorHAnsi" w:hAnsiTheme="majorHAnsi"/>
        </w:rPr>
      </w:pPr>
      <w:r w:rsidRPr="00EE35F4">
        <w:rPr>
          <w:rFonts w:asciiTheme="majorHAnsi" w:hAnsiTheme="majorHAnsi"/>
        </w:rPr>
        <w:t>CoNTTF recommends that HR develop a system whereby NTTF are treated as a distinct population that is systematically and specifically included in searches for tenure-track faculty positions.</w:t>
      </w:r>
    </w:p>
    <w:p w14:paraId="433E90D9" w14:textId="77777777" w:rsidR="005D3DF7" w:rsidRPr="00EE35F4" w:rsidRDefault="005D3DF7" w:rsidP="005D3DF7">
      <w:pPr>
        <w:spacing w:before="240" w:after="120"/>
        <w:rPr>
          <w:rFonts w:asciiTheme="majorHAnsi" w:hAnsiTheme="majorHAnsi"/>
        </w:rPr>
      </w:pPr>
      <w:r w:rsidRPr="00EE35F4">
        <w:rPr>
          <w:rFonts w:asciiTheme="majorHAnsi" w:hAnsiTheme="majorHAnsi"/>
          <w:b/>
        </w:rPr>
        <w:t>Benefits</w:t>
      </w:r>
    </w:p>
    <w:p w14:paraId="52479D36" w14:textId="77777777" w:rsidR="005D3DF7" w:rsidRPr="00EE35F4" w:rsidRDefault="005D3DF7" w:rsidP="00B55FC2">
      <w:pPr>
        <w:numPr>
          <w:ilvl w:val="0"/>
          <w:numId w:val="34"/>
        </w:numPr>
        <w:spacing w:before="240" w:after="120"/>
        <w:ind w:hanging="360"/>
        <w:rPr>
          <w:rFonts w:asciiTheme="majorHAnsi" w:hAnsiTheme="majorHAnsi"/>
          <w:i/>
        </w:rPr>
      </w:pPr>
      <w:r w:rsidRPr="00EE35F4">
        <w:rPr>
          <w:rFonts w:asciiTheme="majorHAnsi" w:hAnsiTheme="majorHAnsi"/>
        </w:rPr>
        <w:t>CoNTTF recommends that the University offer clear guidelines for NTTF who require time off for illness or travel.</w:t>
      </w:r>
    </w:p>
    <w:p w14:paraId="20670C4B" w14:textId="77777777" w:rsidR="005D3DF7" w:rsidRPr="00EE35F4" w:rsidRDefault="005D3DF7" w:rsidP="00B55FC2">
      <w:pPr>
        <w:numPr>
          <w:ilvl w:val="0"/>
          <w:numId w:val="34"/>
        </w:numPr>
        <w:spacing w:before="240" w:after="120"/>
        <w:ind w:hanging="360"/>
        <w:rPr>
          <w:rFonts w:asciiTheme="majorHAnsi" w:hAnsiTheme="majorHAnsi"/>
          <w:i/>
        </w:rPr>
      </w:pPr>
      <w:r w:rsidRPr="00EE35F4">
        <w:rPr>
          <w:rFonts w:asciiTheme="majorHAnsi" w:hAnsiTheme="majorHAnsi"/>
        </w:rPr>
        <w:t>CoNTTF recommends that the University offer clear guidelines for NTTF to take Family Leave or Maternity and Paternity leave.</w:t>
      </w:r>
    </w:p>
    <w:p w14:paraId="2C4F4D66" w14:textId="77777777" w:rsidR="005D3DF7" w:rsidRPr="00EE35F4" w:rsidRDefault="005D3DF7" w:rsidP="00B55FC2">
      <w:pPr>
        <w:numPr>
          <w:ilvl w:val="0"/>
          <w:numId w:val="34"/>
        </w:numPr>
        <w:spacing w:before="240" w:after="120"/>
        <w:ind w:hanging="360"/>
        <w:rPr>
          <w:rFonts w:asciiTheme="majorHAnsi" w:hAnsiTheme="majorHAnsi"/>
          <w:i/>
        </w:rPr>
      </w:pPr>
      <w:r w:rsidRPr="00EE35F4">
        <w:rPr>
          <w:rFonts w:asciiTheme="majorHAnsi" w:hAnsiTheme="majorHAnsi"/>
        </w:rPr>
        <w:t>CoNTTF recommends that the University offer clear guidelines for NTTF to take bereavement leave.</w:t>
      </w:r>
    </w:p>
    <w:p w14:paraId="795905B6" w14:textId="77777777" w:rsidR="005D3DF7" w:rsidRPr="00EE35F4" w:rsidRDefault="005D3DF7" w:rsidP="00B55FC2">
      <w:pPr>
        <w:numPr>
          <w:ilvl w:val="0"/>
          <w:numId w:val="34"/>
        </w:numPr>
        <w:spacing w:before="240" w:after="120"/>
        <w:ind w:hanging="360"/>
        <w:rPr>
          <w:rFonts w:asciiTheme="majorHAnsi" w:hAnsiTheme="majorHAnsi"/>
          <w:i/>
        </w:rPr>
      </w:pPr>
      <w:r w:rsidRPr="00EE35F4">
        <w:rPr>
          <w:rFonts w:asciiTheme="majorHAnsi" w:hAnsiTheme="majorHAnsi"/>
        </w:rPr>
        <w:t xml:space="preserve">CoNTTF recommends that the University continue to offer healthcare benefits for NTTF teaching at least 6 credits and maintain the current health benefits. </w:t>
      </w:r>
    </w:p>
    <w:p w14:paraId="673D1824" w14:textId="77777777" w:rsidR="005D3DF7" w:rsidRPr="00EE35F4" w:rsidRDefault="005D3DF7" w:rsidP="005D3DF7">
      <w:pPr>
        <w:spacing w:before="240" w:after="120"/>
        <w:rPr>
          <w:rFonts w:asciiTheme="majorHAnsi" w:hAnsiTheme="majorHAnsi"/>
        </w:rPr>
      </w:pPr>
      <w:r w:rsidRPr="00EE35F4">
        <w:rPr>
          <w:rFonts w:asciiTheme="majorHAnsi" w:hAnsiTheme="majorHAnsi"/>
          <w:b/>
        </w:rPr>
        <w:t>Professional Development Opportunities</w:t>
      </w:r>
    </w:p>
    <w:p w14:paraId="2DD41531" w14:textId="77777777" w:rsidR="005D3DF7" w:rsidRPr="00EE35F4" w:rsidRDefault="005D3DF7" w:rsidP="00B55FC2">
      <w:pPr>
        <w:numPr>
          <w:ilvl w:val="0"/>
          <w:numId w:val="27"/>
        </w:numPr>
        <w:spacing w:before="240" w:after="120"/>
        <w:ind w:hanging="360"/>
        <w:rPr>
          <w:rFonts w:asciiTheme="majorHAnsi" w:hAnsiTheme="majorHAnsi"/>
          <w:i/>
        </w:rPr>
      </w:pPr>
      <w:r w:rsidRPr="00EE35F4">
        <w:rPr>
          <w:rFonts w:asciiTheme="majorHAnsi" w:hAnsiTheme="majorHAnsi"/>
        </w:rPr>
        <w:t>CoNTTF recommends that the University develop an orientation for new non-tenure-track faculty each semester. This training and orientation would include all necessary information to be an engaged member of the faculty at CSU (i.e., access to resources to best serve the mission of the University, TILT services and trainings, Faculty Manual, University Catalogue, etc.).</w:t>
      </w:r>
    </w:p>
    <w:p w14:paraId="3C3DB2CC" w14:textId="77777777" w:rsidR="005D3DF7" w:rsidRPr="00EE35F4" w:rsidRDefault="005D3DF7" w:rsidP="00B55FC2">
      <w:pPr>
        <w:numPr>
          <w:ilvl w:val="0"/>
          <w:numId w:val="27"/>
        </w:numPr>
        <w:spacing w:before="240" w:after="120"/>
        <w:ind w:hanging="360"/>
        <w:rPr>
          <w:rFonts w:asciiTheme="majorHAnsi" w:hAnsiTheme="majorHAnsi"/>
          <w:i/>
        </w:rPr>
      </w:pPr>
      <w:r w:rsidRPr="00EE35F4">
        <w:rPr>
          <w:rFonts w:asciiTheme="majorHAnsi" w:hAnsiTheme="majorHAnsi"/>
        </w:rPr>
        <w:t>CoNTTF recommends that Colleges and Departments offer NTT faculty options for professional development such as support and resources for participation in and travel to national conferences.</w:t>
      </w:r>
    </w:p>
    <w:p w14:paraId="26010637" w14:textId="77777777" w:rsidR="005D3DF7" w:rsidRPr="00EE35F4" w:rsidRDefault="005D3DF7" w:rsidP="005D3DF7">
      <w:pPr>
        <w:spacing w:before="240" w:after="120"/>
        <w:rPr>
          <w:rFonts w:asciiTheme="majorHAnsi" w:hAnsiTheme="majorHAnsi"/>
        </w:rPr>
      </w:pPr>
      <w:r w:rsidRPr="00EE35F4">
        <w:rPr>
          <w:rFonts w:asciiTheme="majorHAnsi" w:hAnsiTheme="majorHAnsi"/>
          <w:b/>
        </w:rPr>
        <w:t>Instructional Support</w:t>
      </w:r>
    </w:p>
    <w:p w14:paraId="1058381C" w14:textId="77777777" w:rsidR="005D3DF7" w:rsidRPr="00EE35F4" w:rsidRDefault="005D3DF7" w:rsidP="00B55FC2">
      <w:pPr>
        <w:numPr>
          <w:ilvl w:val="0"/>
          <w:numId w:val="38"/>
        </w:numPr>
        <w:spacing w:before="240" w:after="120"/>
        <w:ind w:hanging="360"/>
        <w:rPr>
          <w:rFonts w:asciiTheme="majorHAnsi" w:hAnsiTheme="majorHAnsi"/>
        </w:rPr>
      </w:pPr>
      <w:r w:rsidRPr="00EE35F4">
        <w:rPr>
          <w:rFonts w:asciiTheme="majorHAnsi" w:hAnsiTheme="majorHAnsi"/>
        </w:rPr>
        <w:t xml:space="preserve">CoNTTF recommends that the University offer all NTT faculty adequate office space and meeting rooms to support their work and provide private space for meeting with students. </w:t>
      </w:r>
    </w:p>
    <w:p w14:paraId="236D52A1" w14:textId="77777777" w:rsidR="005D3DF7" w:rsidRPr="00EE35F4" w:rsidRDefault="005D3DF7" w:rsidP="00B55FC2">
      <w:pPr>
        <w:numPr>
          <w:ilvl w:val="0"/>
          <w:numId w:val="38"/>
        </w:numPr>
        <w:spacing w:before="240" w:after="120"/>
        <w:ind w:hanging="360"/>
        <w:rPr>
          <w:rFonts w:asciiTheme="majorHAnsi" w:hAnsiTheme="majorHAnsi"/>
        </w:rPr>
      </w:pPr>
      <w:r w:rsidRPr="00EE35F4">
        <w:rPr>
          <w:rFonts w:asciiTheme="majorHAnsi" w:hAnsiTheme="majorHAnsi"/>
        </w:rPr>
        <w:t xml:space="preserve">CoNTTF recommends that the University offer NTT faculty adequate access to up-to-date and well-managed computers and easily accessible printers, necessary office supplies, and other basic materials for instruction. </w:t>
      </w:r>
    </w:p>
    <w:p w14:paraId="57FCFC8A" w14:textId="18BE0260" w:rsidR="005D3DF7" w:rsidRPr="00082388" w:rsidRDefault="005D3DF7" w:rsidP="00884789">
      <w:pPr>
        <w:numPr>
          <w:ilvl w:val="0"/>
          <w:numId w:val="38"/>
        </w:numPr>
        <w:spacing w:before="240" w:after="120"/>
        <w:ind w:hanging="360"/>
        <w:rPr>
          <w:rFonts w:asciiTheme="majorHAnsi" w:hAnsiTheme="majorHAnsi"/>
          <w:sz w:val="24"/>
        </w:rPr>
      </w:pPr>
      <w:r w:rsidRPr="00082388">
        <w:rPr>
          <w:rFonts w:asciiTheme="majorHAnsi" w:hAnsiTheme="majorHAnsi"/>
        </w:rPr>
        <w:t>In general, we ask for equivalent accommodations to those offered to TT faculty in order to do their work as part of the CSU community.</w:t>
      </w:r>
    </w:p>
    <w:p w14:paraId="1F711D7D" w14:textId="5B927E06" w:rsidR="005D3DF7" w:rsidRPr="00A35502" w:rsidRDefault="005D3DF7" w:rsidP="005D3DF7">
      <w:pPr>
        <w:pStyle w:val="Heading2"/>
        <w:spacing w:before="240" w:after="120"/>
        <w:rPr>
          <w:rFonts w:asciiTheme="majorHAnsi" w:hAnsiTheme="majorHAnsi"/>
          <w:b/>
          <w:color w:val="003300"/>
          <w:sz w:val="28"/>
        </w:rPr>
      </w:pPr>
      <w:bookmarkStart w:id="37" w:name="h.1pxezwc" w:colFirst="0" w:colLast="0"/>
      <w:bookmarkStart w:id="38" w:name="h.49x2ik5" w:colFirst="0" w:colLast="0"/>
      <w:bookmarkStart w:id="39" w:name="_Toc452993106"/>
      <w:bookmarkEnd w:id="37"/>
      <w:bookmarkEnd w:id="38"/>
      <w:r w:rsidRPr="00A35502">
        <w:rPr>
          <w:rFonts w:asciiTheme="majorHAnsi" w:hAnsiTheme="majorHAnsi"/>
          <w:b/>
          <w:color w:val="003300"/>
          <w:sz w:val="32"/>
          <w:szCs w:val="28"/>
        </w:rPr>
        <w:lastRenderedPageBreak/>
        <w:t>Appendix D: Executive Summary Report of the Survey of NTTF, Colorado State University, 2014-15</w:t>
      </w:r>
      <w:bookmarkEnd w:id="39"/>
    </w:p>
    <w:p w14:paraId="7A11987D" w14:textId="77777777" w:rsidR="005D3DF7" w:rsidRPr="00EE35F4" w:rsidRDefault="005D3DF7" w:rsidP="005D3DF7">
      <w:pPr>
        <w:ind w:right="1518"/>
        <w:rPr>
          <w:rFonts w:asciiTheme="majorHAnsi" w:hAnsiTheme="majorHAnsi"/>
          <w:sz w:val="24"/>
        </w:rPr>
      </w:pPr>
      <w:r w:rsidRPr="00EE35F4">
        <w:rPr>
          <w:rFonts w:asciiTheme="majorHAnsi" w:hAnsiTheme="majorHAnsi"/>
          <w:b/>
          <w:sz w:val="24"/>
        </w:rPr>
        <w:t>Prepared for the Center for the Study of Academic Labor</w:t>
      </w:r>
    </w:p>
    <w:p w14:paraId="1013F138" w14:textId="77777777" w:rsidR="005D3DF7" w:rsidRPr="00EE35F4" w:rsidRDefault="005D3DF7" w:rsidP="005D3DF7">
      <w:pPr>
        <w:ind w:right="2"/>
        <w:rPr>
          <w:rFonts w:asciiTheme="majorHAnsi" w:hAnsiTheme="majorHAnsi"/>
          <w:sz w:val="24"/>
          <w:lang w:val="es-PA"/>
        </w:rPr>
      </w:pPr>
      <w:r w:rsidRPr="00EE35F4">
        <w:rPr>
          <w:rFonts w:asciiTheme="majorHAnsi" w:hAnsiTheme="majorHAnsi"/>
          <w:b/>
          <w:sz w:val="24"/>
          <w:lang w:val="es-PA"/>
        </w:rPr>
        <w:t>Jennifer Aberle</w:t>
      </w:r>
    </w:p>
    <w:p w14:paraId="6819A3EB" w14:textId="77777777" w:rsidR="005D3DF7" w:rsidRPr="00EE35F4" w:rsidRDefault="005D3DF7" w:rsidP="005D3DF7">
      <w:pPr>
        <w:ind w:right="2"/>
        <w:rPr>
          <w:rFonts w:asciiTheme="majorHAnsi" w:hAnsiTheme="majorHAnsi"/>
          <w:sz w:val="24"/>
          <w:lang w:val="es-PA"/>
        </w:rPr>
      </w:pPr>
      <w:r w:rsidRPr="00EE35F4">
        <w:rPr>
          <w:rFonts w:asciiTheme="majorHAnsi" w:hAnsiTheme="majorHAnsi"/>
          <w:b/>
          <w:sz w:val="24"/>
          <w:lang w:val="es-PA"/>
        </w:rPr>
        <w:t>Sue Doe</w:t>
      </w:r>
    </w:p>
    <w:p w14:paraId="3AB25F83" w14:textId="77777777" w:rsidR="005D3DF7" w:rsidRPr="00EE35F4" w:rsidRDefault="005D3DF7" w:rsidP="005D3DF7">
      <w:pPr>
        <w:ind w:right="2"/>
        <w:rPr>
          <w:rFonts w:asciiTheme="majorHAnsi" w:hAnsiTheme="majorHAnsi"/>
          <w:sz w:val="24"/>
          <w:lang w:val="es-PA"/>
        </w:rPr>
      </w:pPr>
      <w:r w:rsidRPr="00EE35F4">
        <w:rPr>
          <w:rFonts w:asciiTheme="majorHAnsi" w:hAnsiTheme="majorHAnsi"/>
          <w:b/>
          <w:sz w:val="24"/>
          <w:lang w:val="es-PA"/>
        </w:rPr>
        <w:t>Donna Rouner</w:t>
      </w:r>
    </w:p>
    <w:p w14:paraId="68070911" w14:textId="77777777" w:rsidR="005D3DF7" w:rsidRPr="00EE35F4" w:rsidRDefault="005D3DF7" w:rsidP="005D3DF7">
      <w:pPr>
        <w:ind w:right="2"/>
        <w:rPr>
          <w:rFonts w:asciiTheme="majorHAnsi" w:hAnsiTheme="majorHAnsi"/>
          <w:sz w:val="24"/>
        </w:rPr>
      </w:pPr>
      <w:r w:rsidRPr="00EE35F4">
        <w:rPr>
          <w:rFonts w:asciiTheme="majorHAnsi" w:hAnsiTheme="majorHAnsi"/>
          <w:b/>
          <w:sz w:val="24"/>
        </w:rPr>
        <w:t>Laura Thomas</w:t>
      </w:r>
    </w:p>
    <w:p w14:paraId="524A43B7" w14:textId="77777777" w:rsidR="005D3DF7" w:rsidRPr="00EE35F4" w:rsidRDefault="005D3DF7" w:rsidP="00C90E3E">
      <w:pPr>
        <w:spacing w:before="240" w:after="120"/>
        <w:ind w:firstLine="0"/>
        <w:rPr>
          <w:rFonts w:asciiTheme="majorHAnsi" w:hAnsiTheme="majorHAnsi"/>
          <w:sz w:val="24"/>
        </w:rPr>
      </w:pPr>
      <w:r w:rsidRPr="00EE35F4">
        <w:rPr>
          <w:rFonts w:asciiTheme="majorHAnsi" w:hAnsiTheme="majorHAnsi"/>
          <w:b/>
          <w:sz w:val="24"/>
        </w:rPr>
        <w:t>Introduction</w:t>
      </w:r>
    </w:p>
    <w:p w14:paraId="0614A09F" w14:textId="77777777" w:rsidR="005D3DF7" w:rsidRPr="00EE35F4" w:rsidRDefault="005D3DF7" w:rsidP="005D3DF7">
      <w:pPr>
        <w:widowControl w:val="0"/>
        <w:spacing w:before="240" w:after="120"/>
        <w:ind w:right="111" w:firstLine="0"/>
        <w:rPr>
          <w:rFonts w:asciiTheme="majorHAnsi" w:hAnsiTheme="majorHAnsi"/>
        </w:rPr>
      </w:pPr>
      <w:r w:rsidRPr="00EE35F4">
        <w:rPr>
          <w:rFonts w:asciiTheme="majorHAnsi" w:hAnsiTheme="majorHAnsi"/>
        </w:rPr>
        <w:t xml:space="preserve">The Center for the Study of Academic Labor, in cooperation with the Committee on Non Tenure-Track Faculty (CoNTTF) undertook a survey of non-tenure-track faculty (henceforth NTTF) on the Colorado State University campus in Fort Collins in May of 2014. The purpose of the survey was to understand better the concerns and issues of this group of faculty on the Fort Collins campus. The survey, which was undertaken almost exactly five years after the first survey of its kind on the CSU campus, asked largely the same questions as the 2009 survey in order to facilitate comparisons. Over this period, however, the university significantly expanded the attention paid to issues of NTTF, and so additional or difference questions were needed in some locations. A central question for the second survey was whether this enhanced attention accorded NTTF since 2009 had meaningfully changed perceptions of the work environment. </w:t>
      </w:r>
    </w:p>
    <w:p w14:paraId="60629EC5" w14:textId="77777777" w:rsidR="005D3DF7" w:rsidRPr="00EE35F4" w:rsidRDefault="005D3DF7" w:rsidP="005D3DF7">
      <w:pPr>
        <w:widowControl w:val="0"/>
        <w:spacing w:before="240" w:after="120"/>
        <w:ind w:right="111" w:firstLine="0"/>
        <w:rPr>
          <w:rFonts w:asciiTheme="majorHAnsi" w:hAnsiTheme="majorHAnsi"/>
        </w:rPr>
      </w:pPr>
      <w:r w:rsidRPr="00EE35F4">
        <w:rPr>
          <w:rFonts w:asciiTheme="majorHAnsi" w:hAnsiTheme="majorHAnsi"/>
        </w:rPr>
        <w:t xml:space="preserve">For purposes of this survey, NTTF were defined as those belonging to any of the following categories of employees, consistent with Sections D and E of the CSU </w:t>
      </w:r>
      <w:r w:rsidRPr="00EE35F4">
        <w:rPr>
          <w:rFonts w:asciiTheme="majorHAnsi" w:hAnsiTheme="majorHAnsi"/>
          <w:i/>
        </w:rPr>
        <w:t xml:space="preserve">Faculty Manual: </w:t>
      </w:r>
      <w:r w:rsidRPr="00EE35F4">
        <w:rPr>
          <w:rFonts w:asciiTheme="majorHAnsi" w:hAnsiTheme="majorHAnsi"/>
        </w:rPr>
        <w:t xml:space="preserve">1) Temporary faculty 2) Special Appointment faculty and 3) Senior Teaching Appointments and 4) Joint Academic and Administrative Professionals.  The survey, which was distributed to the 1,273 CSU employees falling into one of these four categories, had a return rate of 38%. Of the respondents, 80% indicated that their positions were primarily instructional, while 20% reported holding joint academic-administrative appointments.  A small group of 4% described their responsibilities as clinical. Relative to gender and length of service, 60.5% of respondents were women and 41% of respondents had been employed by CSU for a decade or more. </w:t>
      </w:r>
    </w:p>
    <w:p w14:paraId="4271CF72" w14:textId="77777777" w:rsidR="005D3DF7" w:rsidRPr="00EE35F4" w:rsidRDefault="005D3DF7" w:rsidP="005D3DF7">
      <w:pPr>
        <w:widowControl w:val="0"/>
        <w:spacing w:before="240" w:after="120"/>
        <w:ind w:right="111" w:firstLine="0"/>
        <w:rPr>
          <w:rFonts w:asciiTheme="majorHAnsi" w:hAnsiTheme="majorHAnsi"/>
        </w:rPr>
      </w:pPr>
      <w:r w:rsidRPr="00EE35F4">
        <w:rPr>
          <w:rFonts w:asciiTheme="majorHAnsi" w:hAnsiTheme="majorHAnsi"/>
        </w:rPr>
        <w:t>According to the CSU Fact Book, approximately 60% of teaching, defined as undergraduate credit hours at both the lower and upper division level, is being done by several categories of employees other than tenure-track faculty. It should be noted that this survey did not include some of the people doing this teaching, such as a category of employee called “other” which has consistently accounted for approximately 7% of the instruction over the course of several years graduate teaching assistants and (GTAs) who account for 12% of the undergraduate credit hour instructional coverage. We speculate that the instruction being done by “others” is largely accounted for by administrative professionals who do not hold joint appointments; for instance, a department chair drawn from the faculty ranks moves from a faculty category to an administrative professional category but may be teaching courses. The absence of clear affiliations among this “other” group of college teachers is problematic since it underrepresents the amount of teaching done off the tenure-track and associates that teaching with no one in particular. Moreover, the “invisible teaching” associated with this group of unspecified employees works to under-represent the amount of teaching that is currently directed away from faculty.  Additionally, GTAs should be either included in future iterations of this survey or should be surveyed separately since they are shouldering a significant percentage of the undergraduate course load.  Finding a way to include instructional employees who do not fall outside the categories included in our survey would help to better represent the teaching being done off the tenure-track.</w:t>
      </w:r>
    </w:p>
    <w:p w14:paraId="23302720" w14:textId="77777777" w:rsidR="005D3DF7" w:rsidRPr="00EE35F4" w:rsidRDefault="005D3DF7" w:rsidP="005D3DF7">
      <w:pPr>
        <w:widowControl w:val="0"/>
        <w:spacing w:before="240" w:after="120"/>
        <w:ind w:right="111" w:firstLine="0"/>
        <w:rPr>
          <w:rFonts w:asciiTheme="majorHAnsi" w:hAnsiTheme="majorHAnsi"/>
        </w:rPr>
      </w:pPr>
      <w:r w:rsidRPr="00EE35F4">
        <w:rPr>
          <w:rFonts w:asciiTheme="majorHAnsi" w:hAnsiTheme="majorHAnsi"/>
        </w:rPr>
        <w:lastRenderedPageBreak/>
        <w:t xml:space="preserve">Workload descriptions varied and offer a complicated, and to some extent conflicting, picture. While 90% of respondents indicated that teaching formed some portion of their workload, 8% cited no teaching among their responsibilities. While 57% reported no research responsibilities, 16% reported that research comprised more than half of their workload distribution. While 36% reported having no service responsibilities, 26% of respondents reported that service comprised less than 10% of their workload. At the very least, it can be said that NTTF at CSU carry a range of workload responsibilities that vary greatly, but traditional faculty workload distributions encompassing the full triad of teaching, research, and service do not appear to be a consistent feature of their roles.  Non tenure-track faculty appear to be assuming specialized roles, which is consistent with national trends that report the “unbundling” of faculty roles.  </w:t>
      </w:r>
    </w:p>
    <w:p w14:paraId="534951CD" w14:textId="77777777" w:rsidR="005D3DF7" w:rsidRPr="00EE35F4" w:rsidRDefault="005D3DF7" w:rsidP="005D3DF7">
      <w:pPr>
        <w:widowControl w:val="0"/>
        <w:spacing w:before="240" w:after="120"/>
        <w:ind w:right="111" w:firstLine="0"/>
        <w:rPr>
          <w:rFonts w:asciiTheme="majorHAnsi" w:hAnsiTheme="majorHAnsi"/>
        </w:rPr>
      </w:pPr>
      <w:r w:rsidRPr="00EE35F4">
        <w:rPr>
          <w:rFonts w:asciiTheme="majorHAnsi" w:hAnsiTheme="majorHAnsi"/>
          <w:b/>
        </w:rPr>
        <w:t>Background</w:t>
      </w:r>
    </w:p>
    <w:p w14:paraId="3ED40C0D" w14:textId="77777777" w:rsidR="005D3DF7" w:rsidRPr="00EE35F4" w:rsidRDefault="005D3DF7" w:rsidP="005D3DF7">
      <w:pPr>
        <w:widowControl w:val="0"/>
        <w:spacing w:before="240" w:after="120"/>
        <w:ind w:right="111" w:firstLine="0"/>
        <w:rPr>
          <w:rFonts w:asciiTheme="majorHAnsi" w:hAnsiTheme="majorHAnsi"/>
        </w:rPr>
      </w:pPr>
      <w:r w:rsidRPr="00EE35F4">
        <w:rPr>
          <w:rFonts w:asciiTheme="majorHAnsi" w:hAnsiTheme="majorHAnsi"/>
        </w:rPr>
        <w:t xml:space="preserve">Since 2004, the number of NTTF on the CSU-Fort Collins campus has grown by roughly 115%. Most of that growth seems to have occurred between 2004 and 2009 since in 2009 NTTF represented 34% of the faculty at Colorado State while in 2014, NTTF had grown to 39% of the total faculty.  Between 2009 and 2014, the undergraduate credit hours associated with instruction by NTTF rose modestly from 40% to 41%, suggesting that the growing number of NTTF were undertaking roles beyond teaching and perhaps associated with clinical, research, and service responsibilities. </w:t>
      </w:r>
    </w:p>
    <w:p w14:paraId="67DF1BBF" w14:textId="77777777" w:rsidR="005D3DF7" w:rsidRPr="00EE35F4" w:rsidRDefault="005D3DF7" w:rsidP="005D3DF7">
      <w:pPr>
        <w:pStyle w:val="Heading1"/>
        <w:spacing w:before="240" w:after="120"/>
        <w:rPr>
          <w:rFonts w:asciiTheme="majorHAnsi" w:hAnsiTheme="majorHAnsi"/>
          <w:sz w:val="22"/>
          <w:szCs w:val="22"/>
        </w:rPr>
      </w:pPr>
      <w:bookmarkStart w:id="40" w:name="h.2p2csry" w:colFirst="0" w:colLast="0"/>
      <w:bookmarkStart w:id="41" w:name="_Toc452986699"/>
      <w:bookmarkStart w:id="42" w:name="_Toc452986744"/>
      <w:bookmarkStart w:id="43" w:name="_Toc452993012"/>
      <w:bookmarkStart w:id="44" w:name="_Toc452993107"/>
      <w:bookmarkEnd w:id="40"/>
      <w:r w:rsidRPr="00EE35F4">
        <w:rPr>
          <w:rFonts w:asciiTheme="majorHAnsi" w:hAnsiTheme="majorHAnsi"/>
          <w:sz w:val="22"/>
          <w:szCs w:val="22"/>
        </w:rPr>
        <w:t>Key Findings</w:t>
      </w:r>
      <w:bookmarkEnd w:id="41"/>
      <w:bookmarkEnd w:id="42"/>
      <w:bookmarkEnd w:id="43"/>
      <w:bookmarkEnd w:id="44"/>
    </w:p>
    <w:p w14:paraId="75386419" w14:textId="77777777" w:rsidR="005D3DF7" w:rsidRPr="00EE35F4" w:rsidRDefault="005D3DF7" w:rsidP="005D3DF7">
      <w:pPr>
        <w:widowControl w:val="0"/>
        <w:spacing w:before="240" w:after="120"/>
        <w:ind w:right="117" w:firstLine="0"/>
        <w:rPr>
          <w:rFonts w:asciiTheme="majorHAnsi" w:hAnsiTheme="majorHAnsi"/>
        </w:rPr>
      </w:pPr>
      <w:r w:rsidRPr="00EE35F4">
        <w:rPr>
          <w:rFonts w:asciiTheme="majorHAnsi" w:hAnsiTheme="majorHAnsi"/>
        </w:rPr>
        <w:t>We report here on key aggregate responses of all NTTF who participated in the study, rather than the disaggregated results of individual colleges. As such, our findings are general and partial, requiring additional analysis at the college/unit level.</w:t>
      </w:r>
    </w:p>
    <w:p w14:paraId="0F64FAA3"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b/>
        </w:rPr>
        <w:t xml:space="preserve">Section 1 Demographic Information. </w:t>
      </w:r>
      <w:r w:rsidRPr="00EE35F4">
        <w:rPr>
          <w:rFonts w:asciiTheme="majorHAnsi" w:hAnsiTheme="majorHAnsi"/>
        </w:rPr>
        <w:t xml:space="preserve"> Here we obtained the demographic information contained in the preceding paragraphs of this summary.</w:t>
      </w:r>
      <w:r w:rsidRPr="00EE35F4">
        <w:rPr>
          <w:rFonts w:asciiTheme="majorHAnsi" w:hAnsiTheme="majorHAnsi"/>
          <w:b/>
        </w:rPr>
        <w:t xml:space="preserve"> </w:t>
      </w:r>
    </w:p>
    <w:p w14:paraId="2FEFF3E4"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b/>
        </w:rPr>
        <w:t>Section 2:</w:t>
      </w:r>
      <w:r w:rsidRPr="00EE35F4">
        <w:rPr>
          <w:rFonts w:asciiTheme="majorHAnsi" w:hAnsiTheme="majorHAnsi"/>
        </w:rPr>
        <w:t xml:space="preserve">  </w:t>
      </w:r>
      <w:r w:rsidRPr="00EE35F4">
        <w:rPr>
          <w:rFonts w:asciiTheme="majorHAnsi" w:hAnsiTheme="majorHAnsi"/>
          <w:b/>
        </w:rPr>
        <w:t>Job Satisfaction Indicators</w:t>
      </w:r>
    </w:p>
    <w:p w14:paraId="236C3FE8"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rPr>
        <w:t xml:space="preserve"> First we report descriptive information about each factor relating to NTTF satisfaction, identifying those areas of position or job satisfaction factors that NTTF indicate are most important to them. Next we provide summary of NTTF self-report of the level of satisfaction with these factors in the spring of 2014.  Finally, we report on “item clusters” relative to key features of the many measures of job satisfaction included in this survey.  </w:t>
      </w:r>
    </w:p>
    <w:p w14:paraId="0ADC651A"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salary</w:t>
      </w:r>
    </w:p>
    <w:p w14:paraId="441F444D"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mentoring</w:t>
      </w:r>
    </w:p>
    <w:p w14:paraId="7E8C1E1A"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professional development</w:t>
      </w:r>
    </w:p>
    <w:p w14:paraId="606BCD5F"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 xml:space="preserve">student contact </w:t>
      </w:r>
    </w:p>
    <w:p w14:paraId="22B28E27"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 xml:space="preserve">collegiality </w:t>
      </w:r>
    </w:p>
    <w:p w14:paraId="37044370"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 xml:space="preserve">autonomy </w:t>
      </w:r>
    </w:p>
    <w:p w14:paraId="399BEE4A"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collaborative opportunities</w:t>
      </w:r>
    </w:p>
    <w:p w14:paraId="2E11551D"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flexibility in scheduling</w:t>
      </w:r>
    </w:p>
    <w:p w14:paraId="69FB1745"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exercise of academic freedom in teaching and research</w:t>
      </w:r>
    </w:p>
    <w:p w14:paraId="60B894D2"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conducting research</w:t>
      </w:r>
    </w:p>
    <w:p w14:paraId="24322591"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research facilities and opportunities</w:t>
      </w:r>
    </w:p>
    <w:p w14:paraId="32D7E705"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participation in departmental activities and governance</w:t>
      </w:r>
    </w:p>
    <w:p w14:paraId="1FC67F43"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intellectual stimulation</w:t>
      </w:r>
    </w:p>
    <w:p w14:paraId="1D0CFC04"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feeling valued as a professional member of the organization</w:t>
      </w:r>
    </w:p>
    <w:p w14:paraId="162CF4A8" w14:textId="77777777" w:rsidR="005D3DF7" w:rsidRPr="00EE35F4" w:rsidRDefault="005D3DF7" w:rsidP="00B55FC2">
      <w:pPr>
        <w:widowControl w:val="0"/>
        <w:numPr>
          <w:ilvl w:val="0"/>
          <w:numId w:val="12"/>
        </w:numPr>
        <w:ind w:right="115" w:hanging="360"/>
        <w:rPr>
          <w:rFonts w:asciiTheme="majorHAnsi" w:hAnsiTheme="majorHAnsi"/>
        </w:rPr>
      </w:pPr>
      <w:r w:rsidRPr="00EE35F4">
        <w:rPr>
          <w:rFonts w:asciiTheme="majorHAnsi" w:hAnsiTheme="majorHAnsi"/>
        </w:rPr>
        <w:t>feeling fairly treated</w:t>
      </w:r>
    </w:p>
    <w:p w14:paraId="55B28448" w14:textId="77777777" w:rsidR="005D3DF7" w:rsidRPr="00EE35F4" w:rsidRDefault="005D3DF7" w:rsidP="005D3DF7">
      <w:pPr>
        <w:widowControl w:val="0"/>
        <w:spacing w:before="240" w:after="120"/>
        <w:ind w:left="360" w:right="117" w:firstLine="0"/>
        <w:rPr>
          <w:rFonts w:asciiTheme="majorHAnsi" w:hAnsiTheme="majorHAnsi"/>
        </w:rPr>
      </w:pPr>
      <w:r w:rsidRPr="00EE35F4">
        <w:rPr>
          <w:rFonts w:asciiTheme="majorHAnsi" w:hAnsiTheme="majorHAnsi"/>
          <w:b/>
        </w:rPr>
        <w:lastRenderedPageBreak/>
        <w:t xml:space="preserve">Top 5 Factors Affecting Job Satisfaction </w:t>
      </w:r>
    </w:p>
    <w:p w14:paraId="3C89A149" w14:textId="77777777" w:rsidR="005D3DF7" w:rsidRPr="00EE35F4" w:rsidRDefault="005D3DF7" w:rsidP="005D3DF7">
      <w:pPr>
        <w:widowControl w:val="0"/>
        <w:spacing w:before="240" w:after="120"/>
        <w:ind w:left="360" w:right="117" w:firstLine="0"/>
        <w:rPr>
          <w:rFonts w:asciiTheme="majorHAnsi" w:hAnsiTheme="majorHAnsi"/>
        </w:rPr>
      </w:pPr>
      <w:r w:rsidRPr="00EE35F4">
        <w:rPr>
          <w:rFonts w:asciiTheme="majorHAnsi" w:hAnsiTheme="majorHAnsi"/>
        </w:rPr>
        <w:t xml:space="preserve">Survey respondents reported the following as their top five factors contributing to job satisfaction: </w:t>
      </w:r>
    </w:p>
    <w:p w14:paraId="06FD5347" w14:textId="7602B913" w:rsidR="005D3DF7" w:rsidRPr="00EE35F4" w:rsidRDefault="005D3DF7" w:rsidP="005D3DF7">
      <w:pPr>
        <w:widowControl w:val="0"/>
        <w:ind w:left="360" w:right="117" w:firstLine="0"/>
        <w:rPr>
          <w:rFonts w:asciiTheme="majorHAnsi" w:hAnsiTheme="majorHAnsi"/>
        </w:rPr>
      </w:pPr>
      <w:r w:rsidRPr="00EE35F4">
        <w:rPr>
          <w:rFonts w:asciiTheme="majorHAnsi" w:hAnsiTheme="majorHAnsi"/>
        </w:rPr>
        <w:t>#1</w:t>
      </w:r>
      <w:r w:rsidR="00C90E3E" w:rsidRPr="00EE35F4">
        <w:rPr>
          <w:rFonts w:asciiTheme="majorHAnsi" w:hAnsiTheme="majorHAnsi"/>
        </w:rPr>
        <w:tab/>
      </w:r>
      <w:r w:rsidRPr="00EE35F4">
        <w:rPr>
          <w:rFonts w:asciiTheme="majorHAnsi" w:hAnsiTheme="majorHAnsi"/>
        </w:rPr>
        <w:t>Feeling valued as a professional</w:t>
      </w:r>
    </w:p>
    <w:p w14:paraId="3F707188" w14:textId="61830975" w:rsidR="005D3DF7" w:rsidRPr="00EE35F4" w:rsidRDefault="005D3DF7" w:rsidP="005D3DF7">
      <w:pPr>
        <w:widowControl w:val="0"/>
        <w:ind w:left="360" w:right="117" w:firstLine="0"/>
        <w:rPr>
          <w:rFonts w:asciiTheme="majorHAnsi" w:hAnsiTheme="majorHAnsi"/>
        </w:rPr>
      </w:pPr>
      <w:r w:rsidRPr="00EE35F4">
        <w:rPr>
          <w:rFonts w:asciiTheme="majorHAnsi" w:hAnsiTheme="majorHAnsi"/>
        </w:rPr>
        <w:t>#2</w:t>
      </w:r>
      <w:r w:rsidR="00C90E3E" w:rsidRPr="00EE35F4">
        <w:rPr>
          <w:rFonts w:asciiTheme="majorHAnsi" w:hAnsiTheme="majorHAnsi"/>
        </w:rPr>
        <w:tab/>
      </w:r>
      <w:r w:rsidRPr="00EE35F4">
        <w:rPr>
          <w:rFonts w:asciiTheme="majorHAnsi" w:hAnsiTheme="majorHAnsi"/>
        </w:rPr>
        <w:t>Having secure/stable employment</w:t>
      </w:r>
    </w:p>
    <w:p w14:paraId="57C044B9" w14:textId="7B0EBB92" w:rsidR="005D3DF7" w:rsidRPr="00EE35F4" w:rsidRDefault="00C90E3E" w:rsidP="005D3DF7">
      <w:pPr>
        <w:widowControl w:val="0"/>
        <w:ind w:left="360" w:right="117" w:firstLine="0"/>
        <w:rPr>
          <w:rFonts w:asciiTheme="majorHAnsi" w:hAnsiTheme="majorHAnsi"/>
        </w:rPr>
      </w:pPr>
      <w:r w:rsidRPr="00EE35F4">
        <w:rPr>
          <w:rFonts w:asciiTheme="majorHAnsi" w:hAnsiTheme="majorHAnsi"/>
        </w:rPr>
        <w:t>#3</w:t>
      </w:r>
      <w:r w:rsidRPr="00EE35F4">
        <w:rPr>
          <w:rFonts w:asciiTheme="majorHAnsi" w:hAnsiTheme="majorHAnsi"/>
        </w:rPr>
        <w:tab/>
      </w:r>
      <w:r w:rsidR="005D3DF7" w:rsidRPr="00EE35F4">
        <w:rPr>
          <w:rFonts w:asciiTheme="majorHAnsi" w:hAnsiTheme="majorHAnsi"/>
        </w:rPr>
        <w:t>Having academic freedom</w:t>
      </w:r>
    </w:p>
    <w:p w14:paraId="061950A4" w14:textId="7F3EC9B8" w:rsidR="005D3DF7" w:rsidRPr="00EE35F4" w:rsidRDefault="005D3DF7" w:rsidP="005D3DF7">
      <w:pPr>
        <w:widowControl w:val="0"/>
        <w:ind w:left="360" w:right="117" w:firstLine="0"/>
        <w:rPr>
          <w:rFonts w:asciiTheme="majorHAnsi" w:hAnsiTheme="majorHAnsi"/>
        </w:rPr>
      </w:pPr>
      <w:r w:rsidRPr="00EE35F4">
        <w:rPr>
          <w:rFonts w:asciiTheme="majorHAnsi" w:hAnsiTheme="majorHAnsi"/>
        </w:rPr>
        <w:t>#4</w:t>
      </w:r>
      <w:r w:rsidR="00C90E3E" w:rsidRPr="00EE35F4">
        <w:rPr>
          <w:rFonts w:asciiTheme="majorHAnsi" w:hAnsiTheme="majorHAnsi"/>
        </w:rPr>
        <w:tab/>
      </w:r>
      <w:r w:rsidRPr="00EE35F4">
        <w:rPr>
          <w:rFonts w:asciiTheme="majorHAnsi" w:hAnsiTheme="majorHAnsi"/>
        </w:rPr>
        <w:t>Having student contact</w:t>
      </w:r>
    </w:p>
    <w:p w14:paraId="1437587B" w14:textId="26CD9773" w:rsidR="005D3DF7" w:rsidRPr="00EE35F4" w:rsidRDefault="005D3DF7" w:rsidP="005D3DF7">
      <w:pPr>
        <w:widowControl w:val="0"/>
        <w:ind w:left="360" w:right="117" w:firstLine="0"/>
        <w:rPr>
          <w:rFonts w:asciiTheme="majorHAnsi" w:hAnsiTheme="majorHAnsi"/>
        </w:rPr>
      </w:pPr>
      <w:r w:rsidRPr="00EE35F4">
        <w:rPr>
          <w:rFonts w:asciiTheme="majorHAnsi" w:hAnsiTheme="majorHAnsi"/>
        </w:rPr>
        <w:t>#5</w:t>
      </w:r>
      <w:r w:rsidR="00C90E3E" w:rsidRPr="00EE35F4">
        <w:rPr>
          <w:rFonts w:asciiTheme="majorHAnsi" w:hAnsiTheme="majorHAnsi"/>
        </w:rPr>
        <w:tab/>
      </w:r>
      <w:r w:rsidRPr="00EE35F4">
        <w:rPr>
          <w:rFonts w:asciiTheme="majorHAnsi" w:hAnsiTheme="majorHAnsi"/>
        </w:rPr>
        <w:t>Having a flexible schedule</w:t>
      </w:r>
    </w:p>
    <w:p w14:paraId="2A4A234D" w14:textId="77777777" w:rsidR="005D3DF7" w:rsidRPr="00EE35F4" w:rsidRDefault="005D3DF7" w:rsidP="005D3DF7">
      <w:pPr>
        <w:widowControl w:val="0"/>
        <w:spacing w:before="240" w:after="120"/>
        <w:ind w:left="360" w:right="117" w:firstLine="0"/>
        <w:rPr>
          <w:rFonts w:asciiTheme="majorHAnsi" w:hAnsiTheme="majorHAnsi"/>
        </w:rPr>
      </w:pPr>
      <w:r w:rsidRPr="00EE35F4">
        <w:rPr>
          <w:rFonts w:asciiTheme="majorHAnsi" w:hAnsiTheme="majorHAnsi"/>
        </w:rPr>
        <w:t>Following closely behind these top five were also salary at #6 and both autonomy and collegiality which tied at #7.</w:t>
      </w:r>
    </w:p>
    <w:p w14:paraId="793918C9" w14:textId="77777777" w:rsidR="005D3DF7" w:rsidRPr="00EE35F4" w:rsidRDefault="005D3DF7" w:rsidP="005D3DF7">
      <w:pPr>
        <w:widowControl w:val="0"/>
        <w:spacing w:before="240" w:after="120"/>
        <w:ind w:left="360" w:right="117" w:firstLine="0"/>
        <w:rPr>
          <w:rFonts w:asciiTheme="majorHAnsi" w:hAnsiTheme="majorHAnsi"/>
        </w:rPr>
      </w:pPr>
      <w:r w:rsidRPr="00EE35F4">
        <w:rPr>
          <w:rFonts w:asciiTheme="majorHAnsi" w:hAnsiTheme="majorHAnsi"/>
          <w:b/>
        </w:rPr>
        <w:t>Where NTTF Report High Satisfaction on the CSU Campus</w:t>
      </w:r>
    </w:p>
    <w:p w14:paraId="1E78D2BB" w14:textId="77777777" w:rsidR="005D3DF7" w:rsidRPr="00EE35F4" w:rsidRDefault="005D3DF7" w:rsidP="005D3DF7">
      <w:pPr>
        <w:widowControl w:val="0"/>
        <w:spacing w:before="240" w:after="120"/>
        <w:ind w:left="360" w:right="117" w:firstLine="0"/>
        <w:rPr>
          <w:rFonts w:asciiTheme="majorHAnsi" w:hAnsiTheme="majorHAnsi"/>
        </w:rPr>
      </w:pPr>
      <w:r w:rsidRPr="00EE35F4">
        <w:rPr>
          <w:rFonts w:asciiTheme="majorHAnsi" w:hAnsiTheme="majorHAnsi"/>
        </w:rPr>
        <w:t>Reporting on current levels of job satisfaction within the local context, survey results indicated the following sources of satisfaction:</w:t>
      </w:r>
    </w:p>
    <w:p w14:paraId="1C38FF37" w14:textId="77777777" w:rsidR="005D3DF7" w:rsidRPr="00EE35F4" w:rsidRDefault="005D3DF7" w:rsidP="00B55FC2">
      <w:pPr>
        <w:widowControl w:val="0"/>
        <w:numPr>
          <w:ilvl w:val="0"/>
          <w:numId w:val="15"/>
        </w:numPr>
        <w:ind w:left="1080" w:right="117" w:hanging="360"/>
        <w:rPr>
          <w:rFonts w:asciiTheme="majorHAnsi" w:hAnsiTheme="majorHAnsi"/>
        </w:rPr>
      </w:pPr>
      <w:r w:rsidRPr="00EE35F4">
        <w:rPr>
          <w:rFonts w:asciiTheme="majorHAnsi" w:hAnsiTheme="majorHAnsi"/>
        </w:rPr>
        <w:t>84% are satisfied with student contact</w:t>
      </w:r>
    </w:p>
    <w:p w14:paraId="51A3AC0F" w14:textId="77777777" w:rsidR="005D3DF7" w:rsidRPr="00EE35F4" w:rsidRDefault="005D3DF7" w:rsidP="00B55FC2">
      <w:pPr>
        <w:widowControl w:val="0"/>
        <w:numPr>
          <w:ilvl w:val="0"/>
          <w:numId w:val="15"/>
        </w:numPr>
        <w:ind w:left="1080" w:right="117" w:hanging="360"/>
        <w:rPr>
          <w:rFonts w:asciiTheme="majorHAnsi" w:hAnsiTheme="majorHAnsi"/>
        </w:rPr>
      </w:pPr>
      <w:r w:rsidRPr="00EE35F4">
        <w:rPr>
          <w:rFonts w:asciiTheme="majorHAnsi" w:hAnsiTheme="majorHAnsi"/>
        </w:rPr>
        <w:t>83% are satisfied with flexible scheduling</w:t>
      </w:r>
    </w:p>
    <w:p w14:paraId="0F0C9571" w14:textId="77777777" w:rsidR="005D3DF7" w:rsidRPr="00EE35F4" w:rsidRDefault="005D3DF7" w:rsidP="00B55FC2">
      <w:pPr>
        <w:widowControl w:val="0"/>
        <w:numPr>
          <w:ilvl w:val="0"/>
          <w:numId w:val="15"/>
        </w:numPr>
        <w:ind w:left="1080" w:right="117" w:hanging="360"/>
        <w:rPr>
          <w:rFonts w:asciiTheme="majorHAnsi" w:hAnsiTheme="majorHAnsi"/>
        </w:rPr>
      </w:pPr>
      <w:r w:rsidRPr="00EE35F4">
        <w:rPr>
          <w:rFonts w:asciiTheme="majorHAnsi" w:hAnsiTheme="majorHAnsi"/>
        </w:rPr>
        <w:t xml:space="preserve">80% are satisfied with autonomy  </w:t>
      </w:r>
    </w:p>
    <w:p w14:paraId="70CDC94B" w14:textId="77777777" w:rsidR="005D3DF7" w:rsidRPr="00EE35F4" w:rsidRDefault="005D3DF7" w:rsidP="00B55FC2">
      <w:pPr>
        <w:widowControl w:val="0"/>
        <w:numPr>
          <w:ilvl w:val="0"/>
          <w:numId w:val="15"/>
        </w:numPr>
        <w:ind w:left="1080" w:right="117" w:hanging="360"/>
        <w:rPr>
          <w:rFonts w:asciiTheme="majorHAnsi" w:hAnsiTheme="majorHAnsi"/>
        </w:rPr>
      </w:pPr>
      <w:r w:rsidRPr="00EE35F4">
        <w:rPr>
          <w:rFonts w:asciiTheme="majorHAnsi" w:hAnsiTheme="majorHAnsi"/>
        </w:rPr>
        <w:t>72% are satisfied with intellectual stimulation</w:t>
      </w:r>
    </w:p>
    <w:p w14:paraId="21B039C2" w14:textId="77777777" w:rsidR="005D3DF7" w:rsidRPr="00EE35F4" w:rsidRDefault="005D3DF7" w:rsidP="00B55FC2">
      <w:pPr>
        <w:widowControl w:val="0"/>
        <w:numPr>
          <w:ilvl w:val="0"/>
          <w:numId w:val="15"/>
        </w:numPr>
        <w:ind w:left="1080" w:right="117" w:hanging="360"/>
        <w:rPr>
          <w:rFonts w:asciiTheme="majorHAnsi" w:hAnsiTheme="majorHAnsi"/>
        </w:rPr>
      </w:pPr>
      <w:r w:rsidRPr="00EE35F4">
        <w:rPr>
          <w:rFonts w:asciiTheme="majorHAnsi" w:hAnsiTheme="majorHAnsi"/>
        </w:rPr>
        <w:t xml:space="preserve">64% are satisfied with academic freedom </w:t>
      </w:r>
    </w:p>
    <w:p w14:paraId="00A49688" w14:textId="77777777" w:rsidR="005D3DF7" w:rsidRPr="00EE35F4" w:rsidRDefault="005D3DF7" w:rsidP="00B55FC2">
      <w:pPr>
        <w:widowControl w:val="0"/>
        <w:numPr>
          <w:ilvl w:val="0"/>
          <w:numId w:val="15"/>
        </w:numPr>
        <w:ind w:left="1080" w:right="117" w:hanging="360"/>
        <w:rPr>
          <w:rFonts w:asciiTheme="majorHAnsi" w:hAnsiTheme="majorHAnsi"/>
        </w:rPr>
      </w:pPr>
      <w:r w:rsidRPr="00EE35F4">
        <w:rPr>
          <w:rFonts w:asciiTheme="majorHAnsi" w:hAnsiTheme="majorHAnsi"/>
        </w:rPr>
        <w:t xml:space="preserve">60% are satisfied with collegiality </w:t>
      </w:r>
    </w:p>
    <w:p w14:paraId="452F84B8" w14:textId="77777777" w:rsidR="005D3DF7" w:rsidRPr="00EE35F4" w:rsidRDefault="005D3DF7" w:rsidP="005D3DF7">
      <w:pPr>
        <w:widowControl w:val="0"/>
        <w:spacing w:before="240" w:after="120"/>
        <w:ind w:left="360" w:right="117" w:firstLine="0"/>
        <w:rPr>
          <w:rFonts w:asciiTheme="majorHAnsi" w:hAnsiTheme="majorHAnsi"/>
        </w:rPr>
      </w:pPr>
      <w:r w:rsidRPr="00EE35F4">
        <w:rPr>
          <w:rFonts w:asciiTheme="majorHAnsi" w:hAnsiTheme="majorHAnsi"/>
          <w:b/>
        </w:rPr>
        <w:t>Where NTTF Report Lower Satisfaction on the CSU Campus</w:t>
      </w:r>
    </w:p>
    <w:p w14:paraId="4B037238" w14:textId="77777777" w:rsidR="005D3DF7" w:rsidRPr="00EE35F4" w:rsidRDefault="005D3DF7" w:rsidP="00B55FC2">
      <w:pPr>
        <w:widowControl w:val="0"/>
        <w:numPr>
          <w:ilvl w:val="0"/>
          <w:numId w:val="22"/>
        </w:numPr>
        <w:ind w:right="117" w:hanging="360"/>
        <w:rPr>
          <w:rFonts w:asciiTheme="majorHAnsi" w:hAnsiTheme="majorHAnsi"/>
        </w:rPr>
      </w:pPr>
      <w:r w:rsidRPr="00EE35F4">
        <w:rPr>
          <w:rFonts w:asciiTheme="majorHAnsi" w:hAnsiTheme="majorHAnsi"/>
        </w:rPr>
        <w:t>47% reported feeling valued as a professional</w:t>
      </w:r>
    </w:p>
    <w:p w14:paraId="5E419872" w14:textId="77777777" w:rsidR="005D3DF7" w:rsidRPr="00EE35F4" w:rsidRDefault="005D3DF7" w:rsidP="00B55FC2">
      <w:pPr>
        <w:widowControl w:val="0"/>
        <w:numPr>
          <w:ilvl w:val="0"/>
          <w:numId w:val="22"/>
        </w:numPr>
        <w:ind w:right="117" w:hanging="360"/>
        <w:rPr>
          <w:rFonts w:asciiTheme="majorHAnsi" w:hAnsiTheme="majorHAnsi"/>
        </w:rPr>
      </w:pPr>
      <w:r w:rsidRPr="00EE35F4">
        <w:rPr>
          <w:rFonts w:asciiTheme="majorHAnsi" w:hAnsiTheme="majorHAnsi"/>
        </w:rPr>
        <w:t>42% reported satisfaction with secure/stable employment</w:t>
      </w:r>
    </w:p>
    <w:p w14:paraId="15823FE8" w14:textId="77777777" w:rsidR="005D3DF7" w:rsidRPr="00EE35F4" w:rsidRDefault="005D3DF7" w:rsidP="00B55FC2">
      <w:pPr>
        <w:widowControl w:val="0"/>
        <w:numPr>
          <w:ilvl w:val="0"/>
          <w:numId w:val="22"/>
        </w:numPr>
        <w:ind w:right="117" w:hanging="360"/>
        <w:rPr>
          <w:rFonts w:asciiTheme="majorHAnsi" w:hAnsiTheme="majorHAnsi"/>
        </w:rPr>
      </w:pPr>
      <w:r w:rsidRPr="00EE35F4">
        <w:rPr>
          <w:rFonts w:asciiTheme="majorHAnsi" w:hAnsiTheme="majorHAnsi"/>
        </w:rPr>
        <w:t>10% reported extreme satisfaction with salary and another 36% reported being somewhat satisfied—scores that we break out for purposes of clarity since salary equity has received considerable attention on the CSU campus in recent years.</w:t>
      </w:r>
    </w:p>
    <w:p w14:paraId="40DA6FBD" w14:textId="77777777" w:rsidR="005D3DF7" w:rsidRPr="00EE35F4" w:rsidRDefault="005D3DF7" w:rsidP="005D3DF7">
      <w:pPr>
        <w:widowControl w:val="0"/>
        <w:spacing w:before="240" w:after="120"/>
        <w:ind w:left="360" w:right="117" w:firstLine="0"/>
        <w:rPr>
          <w:rFonts w:asciiTheme="majorHAnsi" w:hAnsiTheme="majorHAnsi"/>
        </w:rPr>
      </w:pPr>
      <w:r w:rsidRPr="00EE35F4">
        <w:rPr>
          <w:rFonts w:asciiTheme="majorHAnsi" w:hAnsiTheme="majorHAnsi"/>
          <w:b/>
        </w:rPr>
        <w:t>Where NTTF Report Low Relevance of the Factors</w:t>
      </w:r>
    </w:p>
    <w:p w14:paraId="16FD71F1" w14:textId="77777777" w:rsidR="005D3DF7" w:rsidRPr="00EE35F4" w:rsidRDefault="005D3DF7" w:rsidP="005D3DF7">
      <w:pPr>
        <w:widowControl w:val="0"/>
        <w:spacing w:before="240" w:after="120"/>
        <w:ind w:left="360" w:right="117" w:firstLine="0"/>
        <w:rPr>
          <w:rFonts w:asciiTheme="majorHAnsi" w:hAnsiTheme="majorHAnsi"/>
        </w:rPr>
      </w:pPr>
      <w:r w:rsidRPr="00EE35F4">
        <w:rPr>
          <w:rFonts w:asciiTheme="majorHAnsi" w:hAnsiTheme="majorHAnsi"/>
        </w:rPr>
        <w:t xml:space="preserve">On questions relating to research support, including satisfaction with research facilities, between 40 and 45% of respondents indicated that the questions were not applicable to them.  </w:t>
      </w:r>
    </w:p>
    <w:p w14:paraId="1408DA95" w14:textId="77777777" w:rsidR="005D3DF7" w:rsidRPr="00EE35F4" w:rsidRDefault="005D3DF7" w:rsidP="005D3DF7">
      <w:pPr>
        <w:widowControl w:val="0"/>
        <w:spacing w:before="240" w:after="120"/>
        <w:ind w:left="360" w:right="117" w:firstLine="0"/>
        <w:rPr>
          <w:rFonts w:asciiTheme="majorHAnsi" w:hAnsiTheme="majorHAnsi"/>
        </w:rPr>
      </w:pPr>
      <w:r w:rsidRPr="00EE35F4">
        <w:rPr>
          <w:rFonts w:asciiTheme="majorHAnsi" w:hAnsiTheme="majorHAnsi"/>
          <w:b/>
        </w:rPr>
        <w:t>New Questions</w:t>
      </w:r>
    </w:p>
    <w:p w14:paraId="32B64A2A" w14:textId="77777777" w:rsidR="005D3DF7" w:rsidRPr="00EE35F4" w:rsidRDefault="005D3DF7" w:rsidP="005D3DF7">
      <w:pPr>
        <w:widowControl w:val="0"/>
        <w:spacing w:before="240" w:after="120"/>
        <w:ind w:left="360" w:right="117" w:firstLine="0"/>
        <w:rPr>
          <w:rFonts w:asciiTheme="majorHAnsi" w:hAnsiTheme="majorHAnsi"/>
        </w:rPr>
      </w:pPr>
      <w:r w:rsidRPr="00EE35F4">
        <w:rPr>
          <w:rFonts w:asciiTheme="majorHAnsi" w:hAnsiTheme="majorHAnsi"/>
        </w:rPr>
        <w:t>Three new questions about job satisfaction were posed to NTTF in the 2014 survey. Findings showed that a majority of respondents:</w:t>
      </w:r>
    </w:p>
    <w:p w14:paraId="16480467" w14:textId="77777777" w:rsidR="005D3DF7" w:rsidRPr="00EE35F4" w:rsidRDefault="005D3DF7" w:rsidP="005D3DF7">
      <w:pPr>
        <w:widowControl w:val="0"/>
        <w:numPr>
          <w:ilvl w:val="0"/>
          <w:numId w:val="2"/>
        </w:numPr>
        <w:ind w:left="1080" w:right="117" w:hanging="360"/>
        <w:rPr>
          <w:rFonts w:asciiTheme="majorHAnsi" w:hAnsiTheme="majorHAnsi"/>
        </w:rPr>
      </w:pPr>
      <w:r w:rsidRPr="00EE35F4">
        <w:rPr>
          <w:rFonts w:asciiTheme="majorHAnsi" w:hAnsiTheme="majorHAnsi"/>
        </w:rPr>
        <w:t>are satisfied with their positions</w:t>
      </w:r>
    </w:p>
    <w:p w14:paraId="63DDA068" w14:textId="77777777" w:rsidR="005D3DF7" w:rsidRPr="00EE35F4" w:rsidRDefault="005D3DF7" w:rsidP="005D3DF7">
      <w:pPr>
        <w:widowControl w:val="0"/>
        <w:numPr>
          <w:ilvl w:val="0"/>
          <w:numId w:val="2"/>
        </w:numPr>
        <w:ind w:left="1080" w:right="117" w:hanging="360"/>
        <w:rPr>
          <w:rFonts w:asciiTheme="majorHAnsi" w:hAnsiTheme="majorHAnsi"/>
        </w:rPr>
      </w:pPr>
      <w:r w:rsidRPr="00EE35F4">
        <w:rPr>
          <w:rFonts w:asciiTheme="majorHAnsi" w:hAnsiTheme="majorHAnsi"/>
        </w:rPr>
        <w:t xml:space="preserve">are glad to be members of the CSU faculty </w:t>
      </w:r>
    </w:p>
    <w:p w14:paraId="485FB070" w14:textId="77777777" w:rsidR="005D3DF7" w:rsidRPr="00EE35F4" w:rsidRDefault="005D3DF7" w:rsidP="005D3DF7">
      <w:pPr>
        <w:widowControl w:val="0"/>
        <w:numPr>
          <w:ilvl w:val="0"/>
          <w:numId w:val="2"/>
        </w:numPr>
        <w:ind w:left="1080" w:right="117" w:hanging="360"/>
        <w:rPr>
          <w:rFonts w:asciiTheme="majorHAnsi" w:hAnsiTheme="majorHAnsi"/>
        </w:rPr>
      </w:pPr>
      <w:r w:rsidRPr="00EE35F4">
        <w:rPr>
          <w:rFonts w:asciiTheme="majorHAnsi" w:hAnsiTheme="majorHAnsi"/>
        </w:rPr>
        <w:t>do not see their current work at CSU as a stepping stone to another position</w:t>
      </w:r>
    </w:p>
    <w:p w14:paraId="5B7F5BE8" w14:textId="77777777" w:rsidR="001652C5" w:rsidRPr="00EE35F4" w:rsidRDefault="001652C5">
      <w:pPr>
        <w:spacing w:after="200" w:line="276" w:lineRule="auto"/>
        <w:ind w:firstLine="0"/>
        <w:rPr>
          <w:rFonts w:asciiTheme="majorHAnsi" w:hAnsiTheme="majorHAnsi"/>
          <w:b/>
        </w:rPr>
      </w:pPr>
      <w:r w:rsidRPr="00EE35F4">
        <w:rPr>
          <w:rFonts w:asciiTheme="majorHAnsi" w:hAnsiTheme="majorHAnsi"/>
          <w:b/>
        </w:rPr>
        <w:br w:type="page"/>
      </w:r>
    </w:p>
    <w:p w14:paraId="1A009FCB" w14:textId="3848CA22" w:rsidR="005D3DF7" w:rsidRPr="00EE35F4" w:rsidRDefault="005D3DF7" w:rsidP="005D3DF7">
      <w:pPr>
        <w:spacing w:before="240" w:after="120"/>
        <w:ind w:left="360" w:firstLine="0"/>
        <w:rPr>
          <w:rFonts w:asciiTheme="majorHAnsi" w:hAnsiTheme="majorHAnsi"/>
        </w:rPr>
      </w:pPr>
      <w:r w:rsidRPr="00EE35F4">
        <w:rPr>
          <w:rFonts w:asciiTheme="majorHAnsi" w:hAnsiTheme="majorHAnsi"/>
          <w:b/>
        </w:rPr>
        <w:lastRenderedPageBreak/>
        <w:t>Factor Analysis</w:t>
      </w:r>
    </w:p>
    <w:p w14:paraId="24FEDFD3"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We also conducted factor analysis in order to simplify and group similar criteria, first in terms of the importance of the attributes themselves to NTTF and second in terms of NTTF satisfaction with their experience of these criteria.  Professional teaching values were represented by one cluster of items. Salary, feeling valued as a professional, and being treated fairly separated into fairly unique clusters on both factor analyses. Salary, in particular, factored by itself on the importance dimension.  In fact, salary appears to be a complex factor, perhaps representing a separate concept from the other job satisfaction attributes.  There is also some suggestion that the faculty responding to this survey have internalized the notion that salary isn’t as important as other criteria in job satisfaction, and that they should not expect to be satisfied with their salaries. This might be somewhat normative with the population of NTTF faculty, given the history of low wages and high volumes of labor.</w:t>
      </w:r>
    </w:p>
    <w:p w14:paraId="60DD7A84"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The largest gaps between items measuring the importance of the criteria to job satisfaction and actual, reported job satisfaction were as follows and ranked in this order:</w:t>
      </w:r>
    </w:p>
    <w:p w14:paraId="2BB20421" w14:textId="77777777" w:rsidR="005D3DF7" w:rsidRPr="00EE35F4" w:rsidRDefault="005D3DF7" w:rsidP="005D3DF7">
      <w:pPr>
        <w:ind w:left="360" w:firstLine="0"/>
        <w:rPr>
          <w:rFonts w:asciiTheme="majorHAnsi" w:hAnsiTheme="majorHAnsi"/>
        </w:rPr>
      </w:pPr>
      <w:r w:rsidRPr="00EE35F4">
        <w:rPr>
          <w:rFonts w:asciiTheme="majorHAnsi" w:hAnsiTheme="majorHAnsi"/>
        </w:rPr>
        <w:t>1. being valued as a professional</w:t>
      </w:r>
    </w:p>
    <w:p w14:paraId="67552839" w14:textId="77777777" w:rsidR="005D3DF7" w:rsidRPr="00EE35F4" w:rsidRDefault="005D3DF7" w:rsidP="005D3DF7">
      <w:pPr>
        <w:ind w:left="360" w:firstLine="0"/>
        <w:rPr>
          <w:rFonts w:asciiTheme="majorHAnsi" w:hAnsiTheme="majorHAnsi"/>
        </w:rPr>
      </w:pPr>
      <w:r w:rsidRPr="00EE35F4">
        <w:rPr>
          <w:rFonts w:asciiTheme="majorHAnsi" w:hAnsiTheme="majorHAnsi"/>
        </w:rPr>
        <w:t xml:space="preserve">2. salary </w:t>
      </w:r>
    </w:p>
    <w:p w14:paraId="48F5026D" w14:textId="77777777" w:rsidR="005D3DF7" w:rsidRPr="00EE35F4" w:rsidRDefault="005D3DF7" w:rsidP="005D3DF7">
      <w:pPr>
        <w:ind w:left="360" w:firstLine="0"/>
        <w:rPr>
          <w:rFonts w:asciiTheme="majorHAnsi" w:hAnsiTheme="majorHAnsi"/>
        </w:rPr>
      </w:pPr>
      <w:r w:rsidRPr="00EE35F4">
        <w:rPr>
          <w:rFonts w:asciiTheme="majorHAnsi" w:hAnsiTheme="majorHAnsi"/>
        </w:rPr>
        <w:t xml:space="preserve">3. being fairly treated  </w:t>
      </w:r>
    </w:p>
    <w:p w14:paraId="7A6AE2C4" w14:textId="77777777" w:rsidR="005D3DF7" w:rsidRPr="00EE35F4" w:rsidRDefault="005D3DF7" w:rsidP="005D3DF7">
      <w:pPr>
        <w:spacing w:before="240" w:after="120"/>
        <w:ind w:left="360" w:firstLine="0"/>
        <w:rPr>
          <w:rFonts w:asciiTheme="majorHAnsi" w:hAnsiTheme="majorHAnsi"/>
        </w:rPr>
      </w:pPr>
      <w:r w:rsidRPr="00EE35F4">
        <w:rPr>
          <w:rFonts w:asciiTheme="majorHAnsi" w:hAnsiTheme="majorHAnsi"/>
        </w:rPr>
        <w:t xml:space="preserve">These findings signal important areas where attention should be paid with regard to job satisfaction of NTTF. They also represent similar findings to those from the survey of 2009. </w:t>
      </w:r>
    </w:p>
    <w:p w14:paraId="718A6ADE" w14:textId="77777777" w:rsidR="005D3DF7" w:rsidRPr="00EE35F4" w:rsidRDefault="005D3DF7" w:rsidP="005D3DF7">
      <w:pPr>
        <w:spacing w:before="240" w:after="120"/>
        <w:rPr>
          <w:rFonts w:asciiTheme="majorHAnsi" w:hAnsiTheme="majorHAnsi"/>
        </w:rPr>
      </w:pPr>
      <w:r w:rsidRPr="00EE35F4">
        <w:rPr>
          <w:rFonts w:asciiTheme="majorHAnsi" w:hAnsiTheme="majorHAnsi"/>
          <w:b/>
        </w:rPr>
        <w:t>Section 3 Hiring and Evaluation</w:t>
      </w:r>
    </w:p>
    <w:p w14:paraId="6632B59E" w14:textId="77777777" w:rsidR="005D3DF7" w:rsidRPr="00EE35F4" w:rsidRDefault="005D3DF7" w:rsidP="005D3DF7">
      <w:pPr>
        <w:widowControl w:val="0"/>
        <w:spacing w:before="240" w:after="120"/>
        <w:ind w:right="117" w:firstLine="0"/>
        <w:rPr>
          <w:rFonts w:asciiTheme="majorHAnsi" w:hAnsiTheme="majorHAnsi"/>
        </w:rPr>
      </w:pPr>
      <w:r w:rsidRPr="00EE35F4">
        <w:rPr>
          <w:rFonts w:asciiTheme="majorHAnsi" w:hAnsiTheme="majorHAnsi"/>
        </w:rPr>
        <w:t xml:space="preserve">Despite the 2012 passage of HB1144 by the Colorado General Assembly, the bill’s signing into law by Governor John Hickenlooper, and the consent of the CSU Board of Governors that approved the use of binding teaching contracts of 1-3 years in length, just under 19% of NTTF reported having a contract as of the 2014 survey. Prior to passage of HB1144, all NTTF appointments were "at will" although sometimes functioning on appointments described as “without term,” which meant that annual re-application was presumably not necessary although renewal was. In 2009, however, 38% of respondents reported having to reapply for their positions, and 32% reported still needing to do so in 2014. Moreover, as of the 2014 survey, two years after passage of HB1144, 38.9% of NTTF reported that they were still functioning on one-semester or one-year terms, 21.2% reported having a without-term appointment, and 21.2% reported not knowing their type of employment. Comparisons to 2009 are difficult to make since contracts were not available at that time. However, roughly the same percentage of NTTF respondents in 2009, 20%, reported that they were unsure of how their own reappointment would occur. </w:t>
      </w:r>
    </w:p>
    <w:p w14:paraId="426E48B0"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It appears that there remains little commitment to the use of contractual language in forming even relatively short-term commitments to teaching faculty. For many NTTF, in other words, little has changed in regard to job stability/security. This point is driven home by the survey finding that 43% of respondents reported having “rolling appointments” in 2014 compared to 42% in 2014. And despite claims prior to 2012 that legal restrictions formed the main barrier for forging binding commitments to NTTF, the elimination of the legal obstacle to contractual arrangement appears to have resulted in little change to either understanding or practice. This outcome is consistent with the similar non- use of contracts for research faculty, which similarly became legal in Colorado in 2007 with passage of Senate Bill 07-4 but were seldom, if ever, used. Additionally, confusion among NTTF in regard to rehire rights and processes continues unabated, or has even increased. In 2009, 54% of NTTF reported understanding the rehire processes of their units, while in 2014, that number dropped to 38.5%. It appears to be </w:t>
      </w:r>
      <w:r w:rsidRPr="00EE35F4">
        <w:rPr>
          <w:rFonts w:asciiTheme="majorHAnsi" w:hAnsiTheme="majorHAnsi"/>
        </w:rPr>
        <w:lastRenderedPageBreak/>
        <w:t>important that significant additional attention be paid to educating NTTF and perhaps also their supervisors about hiring options.</w:t>
      </w:r>
    </w:p>
    <w:p w14:paraId="1BE75D0F"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b/>
        </w:rPr>
        <w:t>Section 4</w:t>
      </w:r>
      <w:r w:rsidRPr="00EE35F4">
        <w:rPr>
          <w:rFonts w:asciiTheme="majorHAnsi" w:hAnsiTheme="majorHAnsi"/>
        </w:rPr>
        <w:t xml:space="preserve">  </w:t>
      </w:r>
      <w:r w:rsidRPr="00EE35F4">
        <w:rPr>
          <w:rFonts w:asciiTheme="majorHAnsi" w:hAnsiTheme="majorHAnsi"/>
          <w:b/>
        </w:rPr>
        <w:t xml:space="preserve"> Material Conditions and Access to Rewards and Recognitions</w:t>
      </w:r>
    </w:p>
    <w:p w14:paraId="15E9C91D"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rPr>
        <w:t xml:space="preserve"> Survey results suggest that pay practices vary widely across campus and that a lack of regularized salary approach generates great variety in the experiences and overall satisfaction of NTTF. Where particular issues were noted, we offer recommendations for additional work and attention by university leadership:</w:t>
      </w:r>
    </w:p>
    <w:p w14:paraId="44D52E02"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rPr>
        <w:t xml:space="preserve">While 43% of respondents reported that they are paid on a per-section basis, 10% reported their salary is negotiated as part of a research contract or award.  </w:t>
      </w:r>
    </w:p>
    <w:p w14:paraId="4152DFB6"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rPr>
        <w:t xml:space="preserve">While 37% indicated they are eligible for promotion and/or merit pay increases, 24% reported they are not eligible for promotion and/or merit pay increase, and 27% indicated they were unsure whether they qualified for either.   </w:t>
      </w:r>
      <w:r w:rsidRPr="00EE35F4">
        <w:rPr>
          <w:rFonts w:asciiTheme="majorHAnsi" w:hAnsiTheme="majorHAnsi"/>
          <w:b/>
        </w:rPr>
        <w:t>Additional work is needed here to clarify how compensation is tied to merit.</w:t>
      </w:r>
    </w:p>
    <w:p w14:paraId="235D32EB"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rPr>
        <w:t xml:space="preserve">While 36% reported that they believe non tenure-track faculty pay fails to keep pace with tenure-line faculty pay increases, 17% moderately or strongly agreed that their salaries keep pace with tenure-line faculty salaries.  </w:t>
      </w:r>
      <w:r w:rsidRPr="00EE35F4">
        <w:rPr>
          <w:rFonts w:asciiTheme="majorHAnsi" w:hAnsiTheme="majorHAnsi"/>
          <w:b/>
        </w:rPr>
        <w:t xml:space="preserve">Please see explanations elsewhere for what might account for salary “satisfaction” among NTTF. In particular, see the factor analysis section of the Section 2 discussion. </w:t>
      </w:r>
    </w:p>
    <w:p w14:paraId="49772721"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rPr>
        <w:t>While 21% reported that their department pays non tenure-track faculty who hold a Ph.D. more than other non-tenure-track faculty, 10% said this was not the case in their unit and more than half of the respondents, 54%, reported they were unsure.</w:t>
      </w:r>
    </w:p>
    <w:p w14:paraId="7B24FAF2" w14:textId="77777777" w:rsidR="005D3DF7" w:rsidRPr="00EE35F4" w:rsidRDefault="005D3DF7" w:rsidP="005D3DF7">
      <w:pPr>
        <w:widowControl w:val="0"/>
        <w:spacing w:before="240" w:after="120"/>
        <w:ind w:right="230"/>
        <w:rPr>
          <w:rFonts w:asciiTheme="majorHAnsi" w:hAnsiTheme="majorHAnsi"/>
        </w:rPr>
      </w:pPr>
      <w:r w:rsidRPr="00EE35F4">
        <w:rPr>
          <w:rFonts w:asciiTheme="majorHAnsi" w:hAnsiTheme="majorHAnsi"/>
        </w:rPr>
        <w:t xml:space="preserve">Of the respondents, 74% noted they have received clear information about benefits they are eligible for and 76% reported their benefits are equitable to those of other employees. Although 50% agreed that they are eligible for leave for childbirth, illness or other exigencies, 30% reported they were unsure of their benefits in this regard.   </w:t>
      </w:r>
      <w:r w:rsidRPr="00EE35F4">
        <w:rPr>
          <w:rFonts w:asciiTheme="majorHAnsi" w:hAnsiTheme="majorHAnsi"/>
          <w:b/>
        </w:rPr>
        <w:t xml:space="preserve">Additional information about applicable benefits should be provided to NTTF. </w:t>
      </w:r>
    </w:p>
    <w:p w14:paraId="54BC0D93" w14:textId="77777777" w:rsidR="005D3DF7" w:rsidRPr="00EE35F4" w:rsidRDefault="005D3DF7" w:rsidP="005D3DF7">
      <w:pPr>
        <w:widowControl w:val="0"/>
        <w:spacing w:before="240" w:after="120"/>
        <w:rPr>
          <w:rFonts w:asciiTheme="majorHAnsi" w:hAnsiTheme="majorHAnsi"/>
        </w:rPr>
      </w:pPr>
      <w:r w:rsidRPr="00EE35F4">
        <w:rPr>
          <w:rFonts w:asciiTheme="majorHAnsi" w:hAnsiTheme="majorHAnsi"/>
        </w:rPr>
        <w:t xml:space="preserve">Responding to questions about the adequacy of office space and resources, 61% indicated they have adequate office space and 75% agreed they had access to adequate resources to support teaching or research.  </w:t>
      </w:r>
      <w:r w:rsidRPr="00EE35F4">
        <w:rPr>
          <w:rFonts w:asciiTheme="majorHAnsi" w:hAnsiTheme="majorHAnsi"/>
          <w:b/>
        </w:rPr>
        <w:t>These findings suggest that material improvements to NTTF workspace has occurred since the 2009 survey.</w:t>
      </w:r>
      <w:r w:rsidRPr="00EE35F4">
        <w:rPr>
          <w:rFonts w:asciiTheme="majorHAnsi" w:hAnsiTheme="majorHAnsi"/>
        </w:rPr>
        <w:t xml:space="preserve"> </w:t>
      </w:r>
    </w:p>
    <w:p w14:paraId="4D619D63" w14:textId="77777777" w:rsidR="005D3DF7" w:rsidRPr="00EE35F4" w:rsidRDefault="005D3DF7" w:rsidP="005D3DF7">
      <w:pPr>
        <w:widowControl w:val="0"/>
        <w:spacing w:before="240" w:after="120"/>
        <w:ind w:right="230"/>
        <w:rPr>
          <w:rFonts w:asciiTheme="majorHAnsi" w:hAnsiTheme="majorHAnsi"/>
        </w:rPr>
      </w:pPr>
      <w:r w:rsidRPr="00EE35F4">
        <w:rPr>
          <w:rFonts w:asciiTheme="majorHAnsi" w:hAnsiTheme="majorHAnsi"/>
        </w:rPr>
        <w:t xml:space="preserve">Responding to questions about rewards, recognitions, and the valuing of NTTF contributions, 55% of respondents moderately or strongly agreed with the statement that their departments value their professional expertise and contributions while 25% moderately or strongly disagreed. While 44% of respondents stated their belief that tenure-line colleagues respect the contributions of NTTF, fully 30% moderately or strongly disagreed. In addition, nearly equal numbers, 27% and 26%, respectively, reported that research and teaching awards are/are not available to them while 27% reported they are unsure about the availability of rewards. While 48% said that their titles (instructor, assistant professor on special appointment, etc.) offer meaningful recognition for the work they do, 31% strongly do not believe this to be the case. Over a quarter (27%) reported that their college and/or department newsletters do not acknowledge their accomplishments while 44% reported that their department or college demonstrates, in one way or another, a belief in their value as members of the community.  </w:t>
      </w:r>
      <w:r w:rsidRPr="00EE35F4">
        <w:rPr>
          <w:rFonts w:asciiTheme="majorHAnsi" w:hAnsiTheme="majorHAnsi"/>
          <w:b/>
        </w:rPr>
        <w:t xml:space="preserve">The area of rewards and recognitions, including the use of appropriate titles and respect shown by tenure-line colleagues and departmental communication, is important and appears to vary significantly across campus. Non-tangible indicators, such as including NTTF as part of “faculty </w:t>
      </w:r>
      <w:r w:rsidRPr="00EE35F4">
        <w:rPr>
          <w:rFonts w:asciiTheme="majorHAnsi" w:hAnsiTheme="majorHAnsi"/>
          <w:b/>
        </w:rPr>
        <w:lastRenderedPageBreak/>
        <w:t xml:space="preserve">news” in department newsletters, is important to overall morale and creating a supportive culture. </w:t>
      </w:r>
    </w:p>
    <w:p w14:paraId="0825CCF7"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b/>
        </w:rPr>
        <w:t>Section 5</w:t>
      </w:r>
      <w:r w:rsidRPr="00EE35F4">
        <w:rPr>
          <w:rFonts w:asciiTheme="majorHAnsi" w:hAnsiTheme="majorHAnsi"/>
        </w:rPr>
        <w:t xml:space="preserve"> </w:t>
      </w:r>
      <w:r w:rsidRPr="00EE35F4">
        <w:rPr>
          <w:rFonts w:asciiTheme="majorHAnsi" w:hAnsiTheme="majorHAnsi"/>
          <w:b/>
        </w:rPr>
        <w:t>Participation in Governance and Perceptions of Institutional Support</w:t>
      </w:r>
    </w:p>
    <w:p w14:paraId="2D34D754"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rPr>
        <w:t xml:space="preserve">As a whole, NTTF responses to this part of the survey suggest NTTF disengagement with and/or inadequate understanding of the role of shared governance to the workings of the university as a whole and their units in particular. For instance, respondents were evenly divided (19% v. 25%) about whether they are adequately represented on Faculty Council, while a large percentage (over 36%) said they were unsure. Only one-third (33%) indicated they know who their Faculty Council representative is. Respondents were also unsure about their level of welcome and their opportunities for involvement at the departmental level of governance, and when asked if their opinion matters at department committee meetings, respondents were evenly divided: 1/3 believe their opinions matter, 1/3 believe their opinion does not matter, and 1/3 believe their opinion is either not applicable or they are unsure of whether it matters.  </w:t>
      </w:r>
    </w:p>
    <w:p w14:paraId="5F3582D0"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rPr>
        <w:t>Regarding departmental decision making:</w:t>
      </w:r>
    </w:p>
    <w:p w14:paraId="22E8427A" w14:textId="77777777" w:rsidR="005D3DF7" w:rsidRPr="00EE35F4" w:rsidRDefault="005D3DF7" w:rsidP="00B55FC2">
      <w:pPr>
        <w:widowControl w:val="0"/>
        <w:numPr>
          <w:ilvl w:val="0"/>
          <w:numId w:val="23"/>
        </w:numPr>
        <w:spacing w:before="240" w:after="120"/>
        <w:ind w:right="117" w:hanging="360"/>
        <w:rPr>
          <w:rFonts w:asciiTheme="majorHAnsi" w:hAnsiTheme="majorHAnsi"/>
        </w:rPr>
      </w:pPr>
      <w:r w:rsidRPr="00EE35F4">
        <w:rPr>
          <w:rFonts w:asciiTheme="majorHAnsi" w:hAnsiTheme="majorHAnsi"/>
        </w:rPr>
        <w:t xml:space="preserve">44% indicated they do not feel included in decision-making that directly relates to their work. </w:t>
      </w:r>
    </w:p>
    <w:p w14:paraId="434AFECA" w14:textId="77777777" w:rsidR="005D3DF7" w:rsidRPr="00EE35F4" w:rsidRDefault="005D3DF7" w:rsidP="00B55FC2">
      <w:pPr>
        <w:widowControl w:val="0"/>
        <w:numPr>
          <w:ilvl w:val="0"/>
          <w:numId w:val="23"/>
        </w:numPr>
        <w:spacing w:before="240" w:after="120"/>
        <w:ind w:right="117" w:hanging="360"/>
        <w:rPr>
          <w:rFonts w:asciiTheme="majorHAnsi" w:hAnsiTheme="majorHAnsi"/>
        </w:rPr>
      </w:pPr>
      <w:r w:rsidRPr="00EE35F4">
        <w:rPr>
          <w:rFonts w:asciiTheme="majorHAnsi" w:hAnsiTheme="majorHAnsi"/>
        </w:rPr>
        <w:t>53% indicated they are not rewarded for service or that reward for service is inapplicable to them</w:t>
      </w:r>
    </w:p>
    <w:p w14:paraId="2F1D5543" w14:textId="77777777" w:rsidR="005D3DF7" w:rsidRPr="00EE35F4" w:rsidRDefault="005D3DF7" w:rsidP="00B55FC2">
      <w:pPr>
        <w:widowControl w:val="0"/>
        <w:numPr>
          <w:ilvl w:val="0"/>
          <w:numId w:val="23"/>
        </w:numPr>
        <w:spacing w:before="240" w:after="120"/>
        <w:ind w:right="117" w:hanging="360"/>
        <w:rPr>
          <w:rFonts w:asciiTheme="majorHAnsi" w:hAnsiTheme="majorHAnsi"/>
        </w:rPr>
      </w:pPr>
      <w:r w:rsidRPr="00EE35F4">
        <w:rPr>
          <w:rFonts w:asciiTheme="majorHAnsi" w:hAnsiTheme="majorHAnsi"/>
        </w:rPr>
        <w:t xml:space="preserve"> 40% indicated they would become more involved in service if given the opportunity and if recognized for that effort. </w:t>
      </w:r>
    </w:p>
    <w:p w14:paraId="135CC8EE" w14:textId="77777777" w:rsidR="005D3DF7" w:rsidRPr="00EE35F4" w:rsidRDefault="005D3DF7" w:rsidP="005D3DF7">
      <w:pPr>
        <w:spacing w:before="240" w:after="120"/>
        <w:rPr>
          <w:rFonts w:asciiTheme="majorHAnsi" w:hAnsiTheme="majorHAnsi"/>
        </w:rPr>
      </w:pPr>
      <w:r w:rsidRPr="00EE35F4">
        <w:rPr>
          <w:rFonts w:asciiTheme="majorHAnsi" w:hAnsiTheme="majorHAnsi"/>
        </w:rPr>
        <w:t>Regarding care and concern for their well-being:</w:t>
      </w:r>
    </w:p>
    <w:p w14:paraId="699500EA" w14:textId="77777777" w:rsidR="005D3DF7" w:rsidRPr="00EE35F4" w:rsidRDefault="005D3DF7" w:rsidP="00B55FC2">
      <w:pPr>
        <w:widowControl w:val="0"/>
        <w:numPr>
          <w:ilvl w:val="0"/>
          <w:numId w:val="24"/>
        </w:numPr>
        <w:spacing w:before="240" w:after="120"/>
        <w:ind w:hanging="360"/>
        <w:rPr>
          <w:rFonts w:asciiTheme="majorHAnsi" w:hAnsiTheme="majorHAnsi"/>
        </w:rPr>
      </w:pPr>
      <w:r w:rsidRPr="00EE35F4">
        <w:rPr>
          <w:rFonts w:asciiTheme="majorHAnsi" w:hAnsiTheme="majorHAnsi"/>
        </w:rPr>
        <w:t>At the department level, 67%, indicated comfort in talking to their department chair about problems or concerns</w:t>
      </w:r>
    </w:p>
    <w:p w14:paraId="14510287" w14:textId="77777777" w:rsidR="005D3DF7" w:rsidRPr="00EE35F4" w:rsidRDefault="005D3DF7" w:rsidP="00B55FC2">
      <w:pPr>
        <w:widowControl w:val="0"/>
        <w:numPr>
          <w:ilvl w:val="0"/>
          <w:numId w:val="24"/>
        </w:numPr>
        <w:spacing w:before="240" w:after="120"/>
        <w:ind w:hanging="360"/>
        <w:rPr>
          <w:rFonts w:asciiTheme="majorHAnsi" w:hAnsiTheme="majorHAnsi"/>
        </w:rPr>
      </w:pPr>
      <w:r w:rsidRPr="00EE35F4">
        <w:rPr>
          <w:rFonts w:asciiTheme="majorHAnsi" w:hAnsiTheme="majorHAnsi"/>
        </w:rPr>
        <w:t>At the university level, 31% indicated a belief that the administration cares, 33% believe administration does not care, and 22% were neutral on the question.</w:t>
      </w:r>
    </w:p>
    <w:p w14:paraId="02DAAFA4"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b/>
        </w:rPr>
        <w:t>Section 6 Open-Ended Questions</w:t>
      </w:r>
    </w:p>
    <w:p w14:paraId="1A90DBB4" w14:textId="77777777" w:rsidR="005D3DF7" w:rsidRPr="00EE35F4" w:rsidRDefault="005D3DF7" w:rsidP="005D3DF7">
      <w:pPr>
        <w:widowControl w:val="0"/>
        <w:spacing w:before="240" w:after="120"/>
        <w:ind w:right="117"/>
        <w:rPr>
          <w:rFonts w:asciiTheme="majorHAnsi" w:hAnsiTheme="majorHAnsi"/>
        </w:rPr>
      </w:pPr>
      <w:r w:rsidRPr="00EE35F4">
        <w:rPr>
          <w:rFonts w:asciiTheme="majorHAnsi" w:hAnsiTheme="majorHAnsi"/>
        </w:rPr>
        <w:t>Selecting key points from the extensive responses generated by our final three open-ended questions is difficult indeed. We urge a more fine-grained analysis of these responses in the near future.  For now, early analysis suggests the following as some of the key findings.</w:t>
      </w:r>
    </w:p>
    <w:p w14:paraId="424959EA" w14:textId="77777777" w:rsidR="005D3DF7" w:rsidRPr="00EE35F4" w:rsidRDefault="005D3DF7" w:rsidP="00B55FC2">
      <w:pPr>
        <w:widowControl w:val="0"/>
        <w:numPr>
          <w:ilvl w:val="0"/>
          <w:numId w:val="40"/>
        </w:numPr>
        <w:spacing w:before="240" w:after="120"/>
        <w:ind w:right="117" w:hanging="360"/>
        <w:rPr>
          <w:rFonts w:asciiTheme="majorHAnsi" w:hAnsiTheme="majorHAnsi"/>
        </w:rPr>
      </w:pPr>
      <w:r w:rsidRPr="00EE35F4">
        <w:rPr>
          <w:rFonts w:asciiTheme="majorHAnsi" w:hAnsiTheme="majorHAnsi"/>
          <w:b/>
        </w:rPr>
        <w:t>Job security and career ladders:</w:t>
      </w:r>
      <w:r w:rsidRPr="00EE35F4">
        <w:rPr>
          <w:rFonts w:asciiTheme="majorHAnsi" w:hAnsiTheme="majorHAnsi"/>
        </w:rPr>
        <w:t xml:space="preserve"> NTTF are deeply concerned about their futures at CSU and have a strong interest in the development of mechanisms for increasing job security and career ladders/trajectories.</w:t>
      </w:r>
    </w:p>
    <w:p w14:paraId="130B4877" w14:textId="77777777" w:rsidR="005D3DF7" w:rsidRPr="00EE35F4" w:rsidRDefault="005D3DF7" w:rsidP="00B55FC2">
      <w:pPr>
        <w:widowControl w:val="0"/>
        <w:numPr>
          <w:ilvl w:val="0"/>
          <w:numId w:val="40"/>
        </w:numPr>
        <w:spacing w:before="240" w:after="120"/>
        <w:ind w:right="117" w:hanging="360"/>
        <w:rPr>
          <w:rFonts w:asciiTheme="majorHAnsi" w:hAnsiTheme="majorHAnsi"/>
        </w:rPr>
      </w:pPr>
      <w:r w:rsidRPr="00EE35F4">
        <w:rPr>
          <w:rFonts w:asciiTheme="majorHAnsi" w:hAnsiTheme="majorHAnsi"/>
          <w:b/>
        </w:rPr>
        <w:t>Compensation and evaluation:</w:t>
      </w:r>
      <w:r w:rsidRPr="00EE35F4">
        <w:rPr>
          <w:rFonts w:asciiTheme="majorHAnsi" w:hAnsiTheme="majorHAnsi"/>
        </w:rPr>
        <w:t xml:space="preserve"> New floors have been set at $4750 for 2015-16, which is a $1600 (or 4%) raise for those teaching 8 courses a year at the base.  Nonetheless, NTTF respondents overwhelmingly stated that they would like to participate in more transparent evaluation processes and in conversations related to fair pay.</w:t>
      </w:r>
    </w:p>
    <w:p w14:paraId="015574AF" w14:textId="57D7EE4E" w:rsidR="005D3DF7" w:rsidRPr="00EE35F4" w:rsidRDefault="005D3DF7" w:rsidP="005D3DF7">
      <w:pPr>
        <w:widowControl w:val="0"/>
        <w:numPr>
          <w:ilvl w:val="0"/>
          <w:numId w:val="40"/>
        </w:numPr>
        <w:spacing w:before="240" w:after="120"/>
        <w:ind w:right="117" w:hanging="360"/>
        <w:rPr>
          <w:rFonts w:asciiTheme="majorHAnsi" w:hAnsiTheme="majorHAnsi"/>
        </w:rPr>
      </w:pPr>
      <w:r w:rsidRPr="00EE35F4">
        <w:rPr>
          <w:rFonts w:asciiTheme="majorHAnsi" w:hAnsiTheme="majorHAnsi"/>
          <w:b/>
        </w:rPr>
        <w:t>Negotiation of Appointment Features:</w:t>
      </w:r>
      <w:r w:rsidRPr="00EE35F4">
        <w:rPr>
          <w:rFonts w:asciiTheme="majorHAnsi" w:hAnsiTheme="majorHAnsi"/>
        </w:rPr>
        <w:t xml:space="preserve"> NTTF respondents indicated a desire to be fuller participants in decisions relating to the work that they do. </w:t>
      </w:r>
      <w:bookmarkStart w:id="45" w:name="h.147n2zr" w:colFirst="0" w:colLast="0"/>
      <w:bookmarkEnd w:id="45"/>
      <w:r w:rsidRPr="00EE35F4">
        <w:rPr>
          <w:rFonts w:asciiTheme="majorHAnsi" w:hAnsiTheme="majorHAnsi"/>
        </w:rPr>
        <w:br w:type="page"/>
      </w:r>
    </w:p>
    <w:p w14:paraId="466A0A28" w14:textId="77777777" w:rsidR="005D3DF7" w:rsidRPr="00A35502" w:rsidRDefault="005D3DF7" w:rsidP="005D3DF7">
      <w:pPr>
        <w:pStyle w:val="Heading2"/>
        <w:spacing w:before="240" w:after="120"/>
        <w:rPr>
          <w:rFonts w:asciiTheme="majorHAnsi" w:hAnsiTheme="majorHAnsi"/>
          <w:b/>
          <w:color w:val="003300"/>
          <w:sz w:val="28"/>
        </w:rPr>
      </w:pPr>
      <w:bookmarkStart w:id="46" w:name="h.vx1227" w:colFirst="0" w:colLast="0"/>
      <w:bookmarkStart w:id="47" w:name="_Toc452993116"/>
      <w:bookmarkEnd w:id="46"/>
      <w:r w:rsidRPr="00A35502">
        <w:rPr>
          <w:rFonts w:asciiTheme="majorHAnsi" w:hAnsiTheme="majorHAnsi"/>
          <w:b/>
          <w:color w:val="003300"/>
          <w:sz w:val="32"/>
          <w:szCs w:val="28"/>
        </w:rPr>
        <w:lastRenderedPageBreak/>
        <w:t>Appendix E: 2006 Provost Frank’s 6 R's</w:t>
      </w:r>
      <w:bookmarkEnd w:id="47"/>
      <w:r w:rsidR="007A4BD9" w:rsidRPr="00A35502">
        <w:rPr>
          <w:rFonts w:asciiTheme="majorHAnsi" w:hAnsiTheme="majorHAnsi"/>
          <w:b/>
          <w:color w:val="003300"/>
          <w:sz w:val="32"/>
          <w:szCs w:val="28"/>
        </w:rPr>
        <w:t>, 2006</w:t>
      </w:r>
    </w:p>
    <w:p w14:paraId="6D147D4B" w14:textId="77777777" w:rsidR="005D3DF7" w:rsidRPr="00EE35F4" w:rsidRDefault="005D3DF7" w:rsidP="005D3DF7">
      <w:pPr>
        <w:spacing w:before="240" w:after="120"/>
        <w:rPr>
          <w:rFonts w:asciiTheme="majorHAnsi" w:hAnsiTheme="majorHAnsi"/>
          <w:sz w:val="24"/>
        </w:rPr>
      </w:pPr>
      <w:r w:rsidRPr="00EE35F4">
        <w:rPr>
          <w:rFonts w:asciiTheme="majorHAnsi" w:hAnsiTheme="majorHAnsi"/>
          <w:b/>
          <w:sz w:val="24"/>
        </w:rPr>
        <w:t>Provost’s Response</w:t>
      </w:r>
    </w:p>
    <w:p w14:paraId="4617869B" w14:textId="77777777" w:rsidR="005D3DF7" w:rsidRPr="00EE35F4" w:rsidRDefault="005D3DF7" w:rsidP="00884872">
      <w:pPr>
        <w:spacing w:before="240" w:after="120"/>
        <w:ind w:firstLine="0"/>
        <w:rPr>
          <w:rFonts w:asciiTheme="majorHAnsi" w:hAnsiTheme="majorHAnsi"/>
        </w:rPr>
      </w:pPr>
      <w:r w:rsidRPr="00EE35F4">
        <w:rPr>
          <w:rFonts w:asciiTheme="majorHAnsi" w:hAnsiTheme="majorHAnsi"/>
        </w:rPr>
        <w:t>Whereas Executive Committee of Faculty Council adopted a resolution on April 25, 2006 affirming that part-time non-tenure track academic faculty members and full-time non-tenure track academic faculty members are a valued and integral part of the academic faculty of this university and recommending that the Provost/Senior Vice President and the Chair of Faculty Council jointly appoint a special task-force with diverse representation from the appropriate groups to investigate issues related to temporary and special faculty appointments and report its findings and recommendations to the Provost/Senior Vice President and the Chair of Faculty Council;</w:t>
      </w:r>
    </w:p>
    <w:p w14:paraId="0F93B291" w14:textId="77777777" w:rsidR="005D3DF7" w:rsidRPr="00EE35F4" w:rsidRDefault="005D3DF7" w:rsidP="00884872">
      <w:pPr>
        <w:spacing w:before="240" w:after="120"/>
        <w:ind w:firstLine="0"/>
        <w:rPr>
          <w:rFonts w:asciiTheme="majorHAnsi" w:hAnsiTheme="majorHAnsi"/>
        </w:rPr>
      </w:pPr>
      <w:r w:rsidRPr="00EE35F4">
        <w:rPr>
          <w:rFonts w:asciiTheme="majorHAnsi" w:hAnsiTheme="majorHAnsi"/>
        </w:rPr>
        <w:t xml:space="preserve">Whereas Executive Committee of Faculty Council affirms that all individuals with special and temporary appointments are members of the academic faculty and are covered by all provisions of the </w:t>
      </w:r>
      <w:r w:rsidRPr="00EE35F4">
        <w:rPr>
          <w:rFonts w:asciiTheme="majorHAnsi" w:hAnsiTheme="majorHAnsi"/>
          <w:i/>
        </w:rPr>
        <w:t>Academic Faculty and Administrative Professional Manual</w:t>
      </w:r>
      <w:r w:rsidRPr="00EE35F4">
        <w:rPr>
          <w:rFonts w:asciiTheme="majorHAnsi" w:hAnsiTheme="majorHAnsi"/>
        </w:rPr>
        <w:t xml:space="preserve"> unless specifically exempted;</w:t>
      </w:r>
    </w:p>
    <w:p w14:paraId="30361861" w14:textId="77777777" w:rsidR="005D3DF7" w:rsidRPr="00EE35F4" w:rsidRDefault="005D3DF7" w:rsidP="00884872">
      <w:pPr>
        <w:spacing w:before="240" w:after="120"/>
        <w:ind w:firstLine="0"/>
        <w:rPr>
          <w:rFonts w:asciiTheme="majorHAnsi" w:hAnsiTheme="majorHAnsi"/>
        </w:rPr>
      </w:pPr>
      <w:r w:rsidRPr="00EE35F4">
        <w:rPr>
          <w:rFonts w:asciiTheme="majorHAnsi" w:hAnsiTheme="majorHAnsi"/>
        </w:rPr>
        <w:t>Whereas Executive Committee of Faculty Council has received and reviewed the report from the special task-force entitled “Goals &amp; Priorities for Special &amp; Temporary Faulty;”</w:t>
      </w:r>
    </w:p>
    <w:p w14:paraId="26520174" w14:textId="77777777" w:rsidR="005D3DF7" w:rsidRPr="00EE35F4" w:rsidRDefault="005D3DF7" w:rsidP="00884872">
      <w:pPr>
        <w:spacing w:before="240" w:after="120"/>
        <w:ind w:firstLine="0"/>
        <w:rPr>
          <w:rFonts w:asciiTheme="majorHAnsi" w:hAnsiTheme="majorHAnsi"/>
        </w:rPr>
      </w:pPr>
      <w:r w:rsidRPr="00EE35F4">
        <w:rPr>
          <w:rFonts w:asciiTheme="majorHAnsi" w:hAnsiTheme="majorHAnsi"/>
        </w:rPr>
        <w:t xml:space="preserve">Whereas Executive Committee of Faculty Council has examined and found the following list of action items in the report to be basic rights and privileges of all academic faculty members or policies already established in the </w:t>
      </w:r>
      <w:r w:rsidRPr="00EE35F4">
        <w:rPr>
          <w:rFonts w:asciiTheme="majorHAnsi" w:hAnsiTheme="majorHAnsi"/>
          <w:i/>
        </w:rPr>
        <w:t>Manual;</w:t>
      </w:r>
    </w:p>
    <w:p w14:paraId="330E8C2B" w14:textId="77777777" w:rsidR="005D3DF7" w:rsidRPr="00EE35F4" w:rsidRDefault="005D3DF7" w:rsidP="00884872">
      <w:pPr>
        <w:spacing w:before="240" w:after="120"/>
        <w:ind w:firstLine="0"/>
        <w:rPr>
          <w:rFonts w:asciiTheme="majorHAnsi" w:hAnsiTheme="majorHAnsi"/>
        </w:rPr>
      </w:pPr>
      <w:r w:rsidRPr="00EE35F4">
        <w:rPr>
          <w:rFonts w:asciiTheme="majorHAnsi" w:hAnsiTheme="majorHAnsi"/>
        </w:rPr>
        <w:t>Therefore, in support of special and temporary appointment academic faculty members, Executive Committee of Faculty Council strongly urges that administration (at the appropriate levels) ensure the implementation of the following action items:</w:t>
      </w:r>
    </w:p>
    <w:p w14:paraId="50241CF8" w14:textId="77777777" w:rsidR="005D3DF7" w:rsidRPr="00EE35F4" w:rsidRDefault="005D3DF7" w:rsidP="005D3DF7">
      <w:pPr>
        <w:spacing w:before="240" w:after="120"/>
        <w:rPr>
          <w:rFonts w:asciiTheme="majorHAnsi" w:hAnsiTheme="majorHAnsi"/>
        </w:rPr>
      </w:pPr>
      <w:r w:rsidRPr="00EE35F4">
        <w:rPr>
          <w:rFonts w:asciiTheme="majorHAnsi" w:hAnsiTheme="majorHAnsi"/>
          <w:b/>
        </w:rPr>
        <w:t>RIGHTS</w:t>
      </w:r>
    </w:p>
    <w:p w14:paraId="14783DA6" w14:textId="77777777" w:rsidR="005D3DF7" w:rsidRPr="00EE35F4" w:rsidRDefault="005D3DF7" w:rsidP="00B55FC2">
      <w:pPr>
        <w:numPr>
          <w:ilvl w:val="0"/>
          <w:numId w:val="43"/>
        </w:numPr>
        <w:spacing w:before="240" w:after="120"/>
        <w:ind w:hanging="360"/>
        <w:rPr>
          <w:rFonts w:asciiTheme="majorHAnsi" w:hAnsiTheme="majorHAnsi"/>
          <w:b/>
        </w:rPr>
      </w:pPr>
      <w:r w:rsidRPr="00EE35F4">
        <w:rPr>
          <w:rFonts w:asciiTheme="majorHAnsi" w:hAnsiTheme="majorHAnsi"/>
        </w:rPr>
        <w:t>Clearly articulate job descriptions that identify workload distributions in the appointment/offer letters for all academic faculty members.</w:t>
      </w:r>
    </w:p>
    <w:p w14:paraId="63E1BDD4" w14:textId="77777777" w:rsidR="005D3DF7" w:rsidRPr="00EE35F4" w:rsidRDefault="005D3DF7" w:rsidP="00B55FC2">
      <w:pPr>
        <w:numPr>
          <w:ilvl w:val="0"/>
          <w:numId w:val="43"/>
        </w:numPr>
        <w:spacing w:before="240" w:after="120"/>
        <w:ind w:hanging="360"/>
        <w:rPr>
          <w:rFonts w:asciiTheme="majorHAnsi" w:hAnsiTheme="majorHAnsi"/>
          <w:b/>
        </w:rPr>
      </w:pPr>
      <w:r w:rsidRPr="00EE35F4">
        <w:rPr>
          <w:rFonts w:asciiTheme="majorHAnsi" w:hAnsiTheme="majorHAnsi"/>
        </w:rPr>
        <w:t>Institute hiring and rehiring procedures that are transparent and timely for part-time and long-term non-tenure track academic faculty appointments.</w:t>
      </w:r>
    </w:p>
    <w:p w14:paraId="663C5484" w14:textId="77777777" w:rsidR="005D3DF7" w:rsidRPr="00EE35F4" w:rsidRDefault="005D3DF7" w:rsidP="00B55FC2">
      <w:pPr>
        <w:numPr>
          <w:ilvl w:val="0"/>
          <w:numId w:val="43"/>
        </w:numPr>
        <w:spacing w:before="240" w:after="120"/>
        <w:ind w:hanging="360"/>
        <w:rPr>
          <w:rFonts w:asciiTheme="majorHAnsi" w:hAnsiTheme="majorHAnsi"/>
          <w:b/>
        </w:rPr>
      </w:pPr>
      <w:r w:rsidRPr="00EE35F4">
        <w:rPr>
          <w:rFonts w:asciiTheme="majorHAnsi" w:hAnsiTheme="majorHAnsi"/>
        </w:rPr>
        <w:t xml:space="preserve">Identify in all academic faculty offer/appointment letters that the </w:t>
      </w:r>
      <w:r w:rsidRPr="00EE35F4">
        <w:rPr>
          <w:rFonts w:asciiTheme="majorHAnsi" w:hAnsiTheme="majorHAnsi"/>
          <w:i/>
        </w:rPr>
        <w:t>Manual</w:t>
      </w:r>
      <w:r w:rsidRPr="00EE35F4">
        <w:rPr>
          <w:rFonts w:asciiTheme="majorHAnsi" w:hAnsiTheme="majorHAnsi"/>
        </w:rPr>
        <w:t xml:space="preserve"> is an inherent part of all appointment agreements, including faculty rights, responsibilities, privileges and benefits.</w:t>
      </w:r>
    </w:p>
    <w:p w14:paraId="33833860" w14:textId="77777777" w:rsidR="005D3DF7" w:rsidRPr="00EE35F4" w:rsidRDefault="005D3DF7" w:rsidP="00B55FC2">
      <w:pPr>
        <w:numPr>
          <w:ilvl w:val="0"/>
          <w:numId w:val="43"/>
        </w:numPr>
        <w:spacing w:before="240" w:after="120"/>
        <w:ind w:hanging="360"/>
        <w:rPr>
          <w:rFonts w:asciiTheme="majorHAnsi" w:hAnsiTheme="majorHAnsi"/>
          <w:b/>
        </w:rPr>
      </w:pPr>
      <w:r w:rsidRPr="00EE35F4">
        <w:rPr>
          <w:rFonts w:asciiTheme="majorHAnsi" w:hAnsiTheme="majorHAnsi"/>
        </w:rPr>
        <w:t>Provide annual evaluations of all academic faculty members that reflect the agreed workload distribution.</w:t>
      </w:r>
    </w:p>
    <w:p w14:paraId="4C168E58" w14:textId="77777777" w:rsidR="005D3DF7" w:rsidRPr="00EE35F4" w:rsidRDefault="005D3DF7" w:rsidP="00B55FC2">
      <w:pPr>
        <w:numPr>
          <w:ilvl w:val="0"/>
          <w:numId w:val="43"/>
        </w:numPr>
        <w:spacing w:before="240" w:after="120"/>
        <w:ind w:hanging="360"/>
        <w:rPr>
          <w:rFonts w:asciiTheme="majorHAnsi" w:hAnsiTheme="majorHAnsi"/>
          <w:b/>
        </w:rPr>
      </w:pPr>
      <w:r w:rsidRPr="00EE35F4">
        <w:rPr>
          <w:rFonts w:asciiTheme="majorHAnsi" w:hAnsiTheme="majorHAnsi"/>
        </w:rPr>
        <w:t>Establish procedures in departmental codes for assigning rank and promotion of non-tenure track faculty members consistent with the Manual.</w:t>
      </w:r>
    </w:p>
    <w:p w14:paraId="185FAD26" w14:textId="77777777" w:rsidR="005D3DF7" w:rsidRPr="00EE35F4" w:rsidRDefault="005D3DF7" w:rsidP="00B55FC2">
      <w:pPr>
        <w:numPr>
          <w:ilvl w:val="0"/>
          <w:numId w:val="43"/>
        </w:numPr>
        <w:spacing w:before="240" w:after="120"/>
        <w:ind w:hanging="360"/>
        <w:rPr>
          <w:rFonts w:asciiTheme="majorHAnsi" w:hAnsiTheme="majorHAnsi"/>
          <w:b/>
        </w:rPr>
      </w:pPr>
      <w:r w:rsidRPr="00EE35F4">
        <w:rPr>
          <w:rFonts w:asciiTheme="majorHAnsi" w:hAnsiTheme="majorHAnsi"/>
        </w:rPr>
        <w:t>Provide new employee orientation to non-tenure track academic faculty members that informs and ensures access to University faculty resources such as parking passes, library privileges, computer access, ID cards, Sponsored Programs assistance and to departmental resources such as copy privileges, office space, lab space, etc.</w:t>
      </w:r>
    </w:p>
    <w:p w14:paraId="7720D2DC" w14:textId="77777777" w:rsidR="00A1236E" w:rsidRPr="00EE35F4" w:rsidRDefault="00A1236E">
      <w:pPr>
        <w:spacing w:after="200" w:line="276" w:lineRule="auto"/>
        <w:ind w:firstLine="0"/>
        <w:rPr>
          <w:rFonts w:asciiTheme="majorHAnsi" w:hAnsiTheme="majorHAnsi"/>
          <w:b/>
        </w:rPr>
      </w:pPr>
      <w:r w:rsidRPr="00EE35F4">
        <w:rPr>
          <w:rFonts w:asciiTheme="majorHAnsi" w:hAnsiTheme="majorHAnsi"/>
          <w:b/>
        </w:rPr>
        <w:br w:type="page"/>
      </w:r>
    </w:p>
    <w:p w14:paraId="298242DA" w14:textId="6F5A52A1" w:rsidR="005D3DF7" w:rsidRPr="00EE35F4" w:rsidRDefault="005D3DF7" w:rsidP="005D3DF7">
      <w:pPr>
        <w:spacing w:before="240" w:after="120"/>
        <w:rPr>
          <w:rFonts w:asciiTheme="majorHAnsi" w:hAnsiTheme="majorHAnsi"/>
        </w:rPr>
      </w:pPr>
      <w:r w:rsidRPr="00EE35F4">
        <w:rPr>
          <w:rFonts w:asciiTheme="majorHAnsi" w:hAnsiTheme="majorHAnsi"/>
          <w:b/>
        </w:rPr>
        <w:lastRenderedPageBreak/>
        <w:t>RESPECT</w:t>
      </w:r>
    </w:p>
    <w:p w14:paraId="054B79F1" w14:textId="77777777" w:rsidR="005D3DF7" w:rsidRPr="00EE35F4" w:rsidRDefault="005D3DF7" w:rsidP="005D3DF7">
      <w:pPr>
        <w:numPr>
          <w:ilvl w:val="0"/>
          <w:numId w:val="4"/>
        </w:numPr>
        <w:spacing w:before="240" w:after="120"/>
        <w:ind w:hanging="360"/>
        <w:rPr>
          <w:rFonts w:asciiTheme="majorHAnsi" w:hAnsiTheme="majorHAnsi"/>
          <w:b/>
        </w:rPr>
      </w:pPr>
      <w:r w:rsidRPr="00EE35F4">
        <w:rPr>
          <w:rFonts w:asciiTheme="majorHAnsi" w:hAnsiTheme="majorHAnsi"/>
        </w:rPr>
        <w:t>Develop a culture within colleges and departments that includes non-tenure track academic faculty members as a valued and integral part of the academic faculty.</w:t>
      </w:r>
    </w:p>
    <w:p w14:paraId="3B91D6BC" w14:textId="77777777" w:rsidR="005D3DF7" w:rsidRPr="00EE35F4" w:rsidRDefault="005D3DF7" w:rsidP="005D3DF7">
      <w:pPr>
        <w:spacing w:before="240" w:after="120"/>
        <w:rPr>
          <w:rFonts w:asciiTheme="majorHAnsi" w:hAnsiTheme="majorHAnsi"/>
        </w:rPr>
      </w:pPr>
      <w:r w:rsidRPr="00EE35F4">
        <w:rPr>
          <w:rFonts w:asciiTheme="majorHAnsi" w:hAnsiTheme="majorHAnsi"/>
          <w:b/>
        </w:rPr>
        <w:t>REPRESENTATION</w:t>
      </w:r>
    </w:p>
    <w:p w14:paraId="64E7CF60" w14:textId="77777777" w:rsidR="005D3DF7" w:rsidRPr="00EE35F4" w:rsidRDefault="005D3DF7" w:rsidP="005D3DF7">
      <w:pPr>
        <w:numPr>
          <w:ilvl w:val="0"/>
          <w:numId w:val="6"/>
        </w:numPr>
        <w:spacing w:before="240" w:after="120"/>
        <w:ind w:hanging="360"/>
        <w:rPr>
          <w:rFonts w:asciiTheme="majorHAnsi" w:hAnsiTheme="majorHAnsi"/>
          <w:b/>
        </w:rPr>
      </w:pPr>
      <w:r w:rsidRPr="00EE35F4">
        <w:rPr>
          <w:rFonts w:asciiTheme="majorHAnsi" w:hAnsiTheme="majorHAnsi"/>
        </w:rPr>
        <w:t>Improve and institutionalize mechanisms of communication with non-tenure track academic faculty members within departments, colleges and the university.</w:t>
      </w:r>
    </w:p>
    <w:p w14:paraId="2C0B70FD" w14:textId="77777777" w:rsidR="005D3DF7" w:rsidRPr="00EE35F4" w:rsidRDefault="005D3DF7" w:rsidP="005D3DF7">
      <w:pPr>
        <w:numPr>
          <w:ilvl w:val="0"/>
          <w:numId w:val="6"/>
        </w:numPr>
        <w:spacing w:before="240" w:after="120"/>
        <w:ind w:hanging="360"/>
        <w:rPr>
          <w:rFonts w:asciiTheme="majorHAnsi" w:hAnsiTheme="majorHAnsi"/>
          <w:b/>
        </w:rPr>
      </w:pPr>
      <w:r w:rsidRPr="00EE35F4">
        <w:rPr>
          <w:rFonts w:asciiTheme="majorHAnsi" w:hAnsiTheme="majorHAnsi"/>
        </w:rPr>
        <w:t>Include non-tenure track academic faculty members in faculty meetings and other relevant department, college and university committees, and codify their role into the relevant codes.</w:t>
      </w:r>
    </w:p>
    <w:p w14:paraId="4DFA6EF4" w14:textId="77777777" w:rsidR="005D3DF7" w:rsidRPr="00EE35F4" w:rsidRDefault="005D3DF7" w:rsidP="005D3DF7">
      <w:pPr>
        <w:spacing w:before="240" w:after="120"/>
        <w:rPr>
          <w:rFonts w:asciiTheme="majorHAnsi" w:hAnsiTheme="majorHAnsi"/>
        </w:rPr>
      </w:pPr>
      <w:r w:rsidRPr="00EE35F4">
        <w:rPr>
          <w:rFonts w:asciiTheme="majorHAnsi" w:hAnsiTheme="majorHAnsi"/>
          <w:b/>
        </w:rPr>
        <w:t>RECOGNITION</w:t>
      </w:r>
    </w:p>
    <w:p w14:paraId="1B7F66B4" w14:textId="77777777" w:rsidR="005D3DF7" w:rsidRPr="00EE35F4" w:rsidRDefault="005D3DF7" w:rsidP="00B55FC2">
      <w:pPr>
        <w:numPr>
          <w:ilvl w:val="0"/>
          <w:numId w:val="42"/>
        </w:numPr>
        <w:spacing w:before="240" w:after="120"/>
        <w:ind w:hanging="360"/>
        <w:rPr>
          <w:rFonts w:asciiTheme="majorHAnsi" w:hAnsiTheme="majorHAnsi"/>
          <w:b/>
        </w:rPr>
      </w:pPr>
      <w:r w:rsidRPr="00EE35F4">
        <w:rPr>
          <w:rFonts w:asciiTheme="majorHAnsi" w:hAnsiTheme="majorHAnsi"/>
        </w:rPr>
        <w:t xml:space="preserve">Reclassify long-term temporary appointments as special appointments, consistent with section E.4.4 of the </w:t>
      </w:r>
      <w:r w:rsidRPr="00EE35F4">
        <w:rPr>
          <w:rFonts w:asciiTheme="majorHAnsi" w:hAnsiTheme="majorHAnsi"/>
          <w:i/>
        </w:rPr>
        <w:t>Manual</w:t>
      </w:r>
      <w:r w:rsidRPr="00EE35F4">
        <w:rPr>
          <w:rFonts w:asciiTheme="majorHAnsi" w:hAnsiTheme="majorHAnsi"/>
        </w:rPr>
        <w:t>.</w:t>
      </w:r>
    </w:p>
    <w:p w14:paraId="0193B5A0" w14:textId="77777777" w:rsidR="005D3DF7" w:rsidRPr="00EE35F4" w:rsidRDefault="005D3DF7" w:rsidP="00B55FC2">
      <w:pPr>
        <w:numPr>
          <w:ilvl w:val="0"/>
          <w:numId w:val="42"/>
        </w:numPr>
        <w:spacing w:before="240" w:after="120"/>
        <w:ind w:hanging="360"/>
        <w:rPr>
          <w:rFonts w:asciiTheme="majorHAnsi" w:hAnsiTheme="majorHAnsi"/>
          <w:b/>
        </w:rPr>
      </w:pPr>
      <w:r w:rsidRPr="00EE35F4">
        <w:rPr>
          <w:rFonts w:asciiTheme="majorHAnsi" w:hAnsiTheme="majorHAnsi"/>
        </w:rPr>
        <w:t>Offer appropriate research and teaching awards to non-tenure track academic faculty members.</w:t>
      </w:r>
    </w:p>
    <w:p w14:paraId="1AAB7160" w14:textId="77777777" w:rsidR="005D3DF7" w:rsidRPr="00EE35F4" w:rsidRDefault="005D3DF7" w:rsidP="005D3DF7">
      <w:pPr>
        <w:spacing w:before="240" w:after="120"/>
        <w:rPr>
          <w:rFonts w:asciiTheme="majorHAnsi" w:hAnsiTheme="majorHAnsi"/>
        </w:rPr>
      </w:pPr>
      <w:r w:rsidRPr="00EE35F4">
        <w:rPr>
          <w:rFonts w:asciiTheme="majorHAnsi" w:hAnsiTheme="majorHAnsi"/>
          <w:b/>
        </w:rPr>
        <w:t>RESOURCES</w:t>
      </w:r>
    </w:p>
    <w:p w14:paraId="3E2936D5" w14:textId="77777777" w:rsidR="005D3DF7" w:rsidRPr="00EE35F4" w:rsidRDefault="005D3DF7" w:rsidP="00B55FC2">
      <w:pPr>
        <w:numPr>
          <w:ilvl w:val="0"/>
          <w:numId w:val="45"/>
        </w:numPr>
        <w:spacing w:before="240" w:after="120"/>
        <w:ind w:hanging="360"/>
        <w:rPr>
          <w:rFonts w:asciiTheme="majorHAnsi" w:hAnsiTheme="majorHAnsi"/>
          <w:b/>
        </w:rPr>
      </w:pPr>
      <w:r w:rsidRPr="00EE35F4">
        <w:rPr>
          <w:rFonts w:asciiTheme="majorHAnsi" w:hAnsiTheme="majorHAnsi"/>
        </w:rPr>
        <w:t>Create professional and career development opportunities for non-tenure track academic faculty members</w:t>
      </w:r>
      <w:r w:rsidRPr="00EE35F4">
        <w:rPr>
          <w:rFonts w:asciiTheme="majorHAnsi" w:hAnsiTheme="majorHAnsi"/>
          <w:b/>
        </w:rPr>
        <w:t xml:space="preserve">, </w:t>
      </w:r>
      <w:r w:rsidRPr="00EE35F4">
        <w:rPr>
          <w:rFonts w:asciiTheme="majorHAnsi" w:hAnsiTheme="majorHAnsi"/>
        </w:rPr>
        <w:t>including mentoring programs.</w:t>
      </w:r>
    </w:p>
    <w:p w14:paraId="4E296F3E" w14:textId="77777777" w:rsidR="005D3DF7" w:rsidRPr="00EE35F4" w:rsidRDefault="005D3DF7" w:rsidP="00B55FC2">
      <w:pPr>
        <w:numPr>
          <w:ilvl w:val="0"/>
          <w:numId w:val="45"/>
        </w:numPr>
        <w:spacing w:before="240" w:after="120"/>
        <w:ind w:hanging="360"/>
        <w:rPr>
          <w:rFonts w:asciiTheme="majorHAnsi" w:hAnsiTheme="majorHAnsi"/>
          <w:b/>
        </w:rPr>
      </w:pPr>
      <w:r w:rsidRPr="00EE35F4">
        <w:rPr>
          <w:rFonts w:asciiTheme="majorHAnsi" w:hAnsiTheme="majorHAnsi"/>
        </w:rPr>
        <w:t>Offer start-up packages for non-tenure track academic faculty members consistent with assigned responsibilities.</w:t>
      </w:r>
    </w:p>
    <w:p w14:paraId="269D8839" w14:textId="77777777" w:rsidR="005D3DF7" w:rsidRPr="00EE35F4" w:rsidRDefault="005D3DF7" w:rsidP="005D3DF7">
      <w:pPr>
        <w:spacing w:before="240" w:after="120"/>
        <w:rPr>
          <w:rFonts w:asciiTheme="majorHAnsi" w:hAnsiTheme="majorHAnsi"/>
        </w:rPr>
      </w:pPr>
      <w:r w:rsidRPr="00EE35F4">
        <w:rPr>
          <w:rFonts w:asciiTheme="majorHAnsi" w:hAnsiTheme="majorHAnsi"/>
          <w:b/>
        </w:rPr>
        <w:t>REMUNERATION</w:t>
      </w:r>
    </w:p>
    <w:p w14:paraId="047FBF5D" w14:textId="77777777" w:rsidR="005D3DF7" w:rsidRPr="00EE35F4" w:rsidRDefault="005D3DF7" w:rsidP="00B55FC2">
      <w:pPr>
        <w:numPr>
          <w:ilvl w:val="0"/>
          <w:numId w:val="42"/>
        </w:numPr>
        <w:spacing w:before="240" w:after="120"/>
        <w:ind w:hanging="360"/>
        <w:rPr>
          <w:rFonts w:asciiTheme="majorHAnsi" w:hAnsiTheme="majorHAnsi"/>
        </w:rPr>
      </w:pPr>
      <w:r w:rsidRPr="00EE35F4">
        <w:rPr>
          <w:rFonts w:asciiTheme="majorHAnsi" w:hAnsiTheme="majorHAnsi"/>
        </w:rPr>
        <w:t>Provide non-tenure track academic faculty members annual pay increases consistent with those awarded to regular appointment faculty.</w:t>
      </w:r>
    </w:p>
    <w:p w14:paraId="33DCFF4B" w14:textId="77777777" w:rsidR="005D3DF7" w:rsidRPr="00EE35F4" w:rsidRDefault="005D3DF7" w:rsidP="00B55FC2">
      <w:pPr>
        <w:numPr>
          <w:ilvl w:val="0"/>
          <w:numId w:val="42"/>
        </w:numPr>
        <w:spacing w:before="240" w:after="120"/>
        <w:ind w:hanging="360"/>
        <w:rPr>
          <w:rFonts w:asciiTheme="majorHAnsi" w:hAnsiTheme="majorHAnsi"/>
        </w:rPr>
      </w:pPr>
      <w:r w:rsidRPr="00EE35F4">
        <w:rPr>
          <w:rFonts w:asciiTheme="majorHAnsi" w:hAnsiTheme="majorHAnsi"/>
        </w:rPr>
        <w:t>Incorporate non-tenure track academic faculty members into the annual salary exercises.</w:t>
      </w:r>
    </w:p>
    <w:p w14:paraId="403AB60A" w14:textId="77777777" w:rsidR="005D3DF7" w:rsidRPr="00EE35F4" w:rsidRDefault="005D3DF7" w:rsidP="00B55FC2">
      <w:pPr>
        <w:numPr>
          <w:ilvl w:val="0"/>
          <w:numId w:val="42"/>
        </w:numPr>
        <w:spacing w:before="240" w:after="120"/>
        <w:ind w:hanging="360"/>
        <w:rPr>
          <w:rFonts w:asciiTheme="majorHAnsi" w:hAnsiTheme="majorHAnsi"/>
        </w:rPr>
      </w:pPr>
      <w:r w:rsidRPr="00EE35F4">
        <w:rPr>
          <w:rFonts w:asciiTheme="majorHAnsi" w:hAnsiTheme="majorHAnsi"/>
        </w:rPr>
        <w:t>Secure significant salary increase for long-term non-tenure track academic faculty members.</w:t>
      </w:r>
    </w:p>
    <w:p w14:paraId="276676A6" w14:textId="77777777" w:rsidR="005D3DF7" w:rsidRPr="00EE35F4" w:rsidRDefault="005D3DF7" w:rsidP="00B55FC2">
      <w:pPr>
        <w:numPr>
          <w:ilvl w:val="0"/>
          <w:numId w:val="42"/>
        </w:numPr>
        <w:spacing w:before="240" w:after="120"/>
        <w:ind w:hanging="360"/>
        <w:rPr>
          <w:rFonts w:asciiTheme="majorHAnsi" w:hAnsiTheme="majorHAnsi"/>
        </w:rPr>
      </w:pPr>
      <w:r w:rsidRPr="00EE35F4">
        <w:rPr>
          <w:rFonts w:asciiTheme="majorHAnsi" w:hAnsiTheme="majorHAnsi"/>
        </w:rPr>
        <w:t>Clarify and disseminate information about benefits available to non-tenure track academic faculty members.</w:t>
      </w:r>
    </w:p>
    <w:p w14:paraId="20E2900E" w14:textId="77777777" w:rsidR="005D3DF7" w:rsidRPr="00EE35F4" w:rsidRDefault="005D3DF7" w:rsidP="00B55FC2">
      <w:pPr>
        <w:numPr>
          <w:ilvl w:val="0"/>
          <w:numId w:val="42"/>
        </w:numPr>
        <w:spacing w:before="240" w:after="120"/>
        <w:ind w:hanging="360"/>
        <w:rPr>
          <w:rFonts w:asciiTheme="majorHAnsi" w:hAnsiTheme="majorHAnsi"/>
        </w:rPr>
      </w:pPr>
      <w:r w:rsidRPr="00EE35F4">
        <w:rPr>
          <w:rFonts w:asciiTheme="majorHAnsi" w:hAnsiTheme="majorHAnsi"/>
        </w:rPr>
        <w:t>Provide qualified non-tenure track academic faculty members with dependent tuition reductions and other benefits similar to those of regular appointment faculty.</w:t>
      </w:r>
    </w:p>
    <w:p w14:paraId="2EBD2315" w14:textId="77777777" w:rsidR="005D3DF7" w:rsidRPr="00EE35F4" w:rsidRDefault="005D3DF7" w:rsidP="00B55FC2">
      <w:pPr>
        <w:numPr>
          <w:ilvl w:val="0"/>
          <w:numId w:val="42"/>
        </w:numPr>
        <w:spacing w:before="240" w:after="120"/>
        <w:ind w:hanging="360"/>
        <w:rPr>
          <w:rFonts w:asciiTheme="majorHAnsi" w:hAnsiTheme="majorHAnsi"/>
        </w:rPr>
      </w:pPr>
      <w:r w:rsidRPr="00EE35F4">
        <w:rPr>
          <w:rFonts w:asciiTheme="majorHAnsi" w:hAnsiTheme="majorHAnsi"/>
        </w:rPr>
        <w:t>Explore options for leave accrual and benefits to be maintained if qualified non-tenure track academic faculty members take a semester off due to childbirth, illness, or other exigencies.</w:t>
      </w:r>
    </w:p>
    <w:p w14:paraId="28F7A6BC" w14:textId="77777777" w:rsidR="005D3DF7" w:rsidRPr="00EE35F4" w:rsidRDefault="005D3DF7" w:rsidP="00B55FC2">
      <w:pPr>
        <w:numPr>
          <w:ilvl w:val="0"/>
          <w:numId w:val="42"/>
        </w:numPr>
        <w:spacing w:before="240" w:after="120"/>
        <w:ind w:hanging="360"/>
        <w:rPr>
          <w:rFonts w:asciiTheme="majorHAnsi" w:hAnsiTheme="majorHAnsi"/>
        </w:rPr>
      </w:pPr>
      <w:r w:rsidRPr="00EE35F4">
        <w:rPr>
          <w:rFonts w:asciiTheme="majorHAnsi" w:hAnsiTheme="majorHAnsi"/>
        </w:rPr>
        <w:t>Pro-rate pay on a per credit basis for non-tenure track academic faculty members who are paid on a per-course basis but who teach courses with more than 3 credits per course.</w:t>
      </w:r>
    </w:p>
    <w:p w14:paraId="3FC4466D" w14:textId="77777777" w:rsidR="005D3DF7" w:rsidRPr="00EE35F4" w:rsidRDefault="005D3DF7" w:rsidP="005D3DF7">
      <w:pPr>
        <w:spacing w:before="240" w:after="120"/>
        <w:rPr>
          <w:rFonts w:asciiTheme="majorHAnsi" w:hAnsiTheme="majorHAnsi"/>
        </w:rPr>
      </w:pPr>
      <w:r w:rsidRPr="00EE35F4">
        <w:rPr>
          <w:rFonts w:asciiTheme="majorHAnsi" w:hAnsiTheme="majorHAnsi"/>
        </w:rPr>
        <w:br w:type="page"/>
      </w:r>
    </w:p>
    <w:p w14:paraId="79DFC15C" w14:textId="77777777" w:rsidR="005D3DF7" w:rsidRPr="00A35502" w:rsidRDefault="005D3DF7" w:rsidP="005D3DF7">
      <w:pPr>
        <w:pStyle w:val="Heading2"/>
        <w:spacing w:before="240" w:after="120"/>
        <w:rPr>
          <w:rFonts w:asciiTheme="majorHAnsi" w:hAnsiTheme="majorHAnsi"/>
          <w:b/>
          <w:color w:val="003300"/>
          <w:sz w:val="28"/>
        </w:rPr>
      </w:pPr>
      <w:bookmarkStart w:id="48" w:name="h.3fwokq0" w:colFirst="0" w:colLast="0"/>
      <w:bookmarkStart w:id="49" w:name="h.1v1yuxt" w:colFirst="0" w:colLast="0"/>
      <w:bookmarkStart w:id="50" w:name="_Toc452993117"/>
      <w:bookmarkEnd w:id="48"/>
      <w:bookmarkEnd w:id="49"/>
      <w:r w:rsidRPr="00A35502">
        <w:rPr>
          <w:rFonts w:asciiTheme="majorHAnsi" w:hAnsiTheme="majorHAnsi"/>
          <w:b/>
          <w:color w:val="003300"/>
          <w:sz w:val="32"/>
          <w:szCs w:val="28"/>
        </w:rPr>
        <w:lastRenderedPageBreak/>
        <w:t>Appendix F: Position Statement from the CCCC</w:t>
      </w:r>
      <w:r w:rsidR="00686D72" w:rsidRPr="00A35502">
        <w:rPr>
          <w:rStyle w:val="FootnoteReference"/>
          <w:rFonts w:asciiTheme="majorHAnsi" w:hAnsiTheme="majorHAnsi"/>
          <w:b/>
          <w:color w:val="003300"/>
          <w:sz w:val="32"/>
          <w:szCs w:val="28"/>
        </w:rPr>
        <w:footnoteReference w:id="2"/>
      </w:r>
      <w:r w:rsidRPr="00A35502">
        <w:rPr>
          <w:rFonts w:asciiTheme="majorHAnsi" w:hAnsiTheme="majorHAnsi"/>
          <w:b/>
          <w:color w:val="003300"/>
          <w:sz w:val="32"/>
          <w:szCs w:val="28"/>
        </w:rPr>
        <w:t xml:space="preserve"> on Working Conditions for Non-Tenure-Track Faculty</w:t>
      </w:r>
      <w:bookmarkEnd w:id="50"/>
    </w:p>
    <w:p w14:paraId="1809E32E" w14:textId="77777777" w:rsidR="005D3DF7" w:rsidRPr="00702A4A" w:rsidRDefault="005D3DF7" w:rsidP="005D3DF7">
      <w:pPr>
        <w:pStyle w:val="Heading6"/>
        <w:spacing w:before="240" w:after="120"/>
        <w:rPr>
          <w:rFonts w:asciiTheme="majorHAnsi" w:hAnsiTheme="majorHAnsi"/>
          <w:sz w:val="24"/>
        </w:rPr>
      </w:pPr>
      <w:r w:rsidRPr="00702A4A">
        <w:rPr>
          <w:rFonts w:asciiTheme="majorHAnsi" w:hAnsiTheme="majorHAnsi"/>
          <w:sz w:val="24"/>
        </w:rPr>
        <w:t>Executive Summary</w:t>
      </w:r>
    </w:p>
    <w:p w14:paraId="4E5D1FD2"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As the non-tenure-track (NTT) cohort of writing faculty grows, departments and programs need to provide equitable working conditions for all faculty, including reasonable workloads and protections against unnecessary changes; access to shared governance and curricular decisions; transparent and fair hiring, evaluation, and renewal processes; access to technology and other resources necessary for job performance; access to professional development and scholarly resources; and fair compensation. To provide such conditions, departments need consistent and transparent policies developed as much as possible in collaboration with NTT faculty.</w:t>
      </w:r>
    </w:p>
    <w:p w14:paraId="659A9966" w14:textId="77777777" w:rsidR="005D3DF7" w:rsidRPr="00702A4A" w:rsidRDefault="005D3DF7" w:rsidP="005D3DF7">
      <w:pPr>
        <w:pStyle w:val="Heading6"/>
        <w:spacing w:before="240" w:after="120"/>
        <w:rPr>
          <w:rFonts w:asciiTheme="majorHAnsi" w:hAnsiTheme="majorHAnsi"/>
          <w:sz w:val="24"/>
        </w:rPr>
      </w:pPr>
      <w:r w:rsidRPr="00702A4A">
        <w:rPr>
          <w:rFonts w:asciiTheme="majorHAnsi" w:hAnsiTheme="majorHAnsi"/>
          <w:sz w:val="24"/>
        </w:rPr>
        <w:t>Introduction</w:t>
      </w:r>
    </w:p>
    <w:p w14:paraId="76FBBD49"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The term </w:t>
      </w:r>
      <w:r w:rsidRPr="00EE35F4">
        <w:rPr>
          <w:rFonts w:asciiTheme="majorHAnsi" w:hAnsiTheme="majorHAnsi"/>
          <w:b/>
          <w:i/>
        </w:rPr>
        <w:t>non-tenure-track</w:t>
      </w:r>
      <w:r w:rsidRPr="00EE35F4">
        <w:rPr>
          <w:rFonts w:asciiTheme="majorHAnsi" w:hAnsiTheme="majorHAnsi"/>
        </w:rPr>
        <w:t xml:space="preserve"> (NTT) refers to all faculty who are not protected by tenure. Faculty off the tenure track face conditions that tenure-track and tenured (TT/T) faculty do not—even NTT faculty in the most secure positions.</w:t>
      </w:r>
      <w:r w:rsidRPr="00EE35F4">
        <w:rPr>
          <w:rFonts w:asciiTheme="majorHAnsi" w:hAnsiTheme="majorHAnsi"/>
        </w:rPr>
        <w:br/>
      </w:r>
      <w:r w:rsidRPr="00EE35F4">
        <w:rPr>
          <w:rFonts w:asciiTheme="majorHAnsi" w:hAnsiTheme="majorHAnsi"/>
        </w:rPr>
        <w:br/>
        <w:t>From 2005 to 2012, the number of contingent faculty members increased from 48.2 percent to 52.9 percent at doctoral-granting universities, held steady at about 61% at masters-granting universities, grew from 55 to 57 percent at baccalaureate colleges, and stayed constant at almost 80 percent in two-year colleges.</w:t>
      </w:r>
      <w:r w:rsidRPr="00EE35F4">
        <w:rPr>
          <w:rFonts w:asciiTheme="majorHAnsi" w:hAnsiTheme="majorHAnsi"/>
          <w:vertAlign w:val="superscript"/>
        </w:rPr>
        <w:t>1</w:t>
      </w:r>
      <w:r w:rsidRPr="00EE35F4">
        <w:rPr>
          <w:rFonts w:asciiTheme="majorHAnsi" w:hAnsiTheme="majorHAnsi"/>
        </w:rPr>
        <w:t xml:space="preserve"> One 2010 study, for example, found that roughly 75 percent of faculty were working off the tenure track, most part-time.</w:t>
      </w:r>
      <w:r w:rsidRPr="00EE35F4">
        <w:rPr>
          <w:rFonts w:asciiTheme="majorHAnsi" w:hAnsiTheme="majorHAnsi"/>
          <w:vertAlign w:val="superscript"/>
        </w:rPr>
        <w:t>2</w:t>
      </w:r>
      <w:r w:rsidRPr="00EE35F4">
        <w:rPr>
          <w:rFonts w:asciiTheme="majorHAnsi" w:hAnsiTheme="majorHAnsi"/>
        </w:rPr>
        <w:t xml:space="preserve"> While data vary based on differing reporting mechanisms, contingent faculty employment clearly continues to rise in US colleges and universities. Additionally, it is challenging to obtain comprehensive and accurate information about contingent faculty demographics and working conditions following the discontinuation of the National Postsecondary Faculty Survey, an instrument that attempted to gather this information.</w:t>
      </w:r>
    </w:p>
    <w:p w14:paraId="3299948E"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These figures are especially significant for faculty teaching college writing courses. These courses include those labeled “basic” or “remedial” writing and general education courses such as first-year writing. The Coalition on the Academic Workforce (CAW), which brings together faculty and disciplinary associations around issues related to academic labor practices, found in a 2012 survey of contingent teachers that 16.4 percent of all contingent faculty in the United States were from English language and literature departments; most of these faculty were teaching writing courses. A 2007 Association of Departments of English of the MLA study also found that almost 70 percent of composition courses housed within English departments are taught by contingent faculty.</w:t>
      </w:r>
      <w:r w:rsidRPr="00EE35F4">
        <w:rPr>
          <w:rFonts w:asciiTheme="majorHAnsi" w:hAnsiTheme="majorHAnsi"/>
          <w:sz w:val="24"/>
        </w:rPr>
        <w:t xml:space="preserve"> </w:t>
      </w:r>
      <w:r w:rsidRPr="00EE35F4">
        <w:rPr>
          <w:rFonts w:asciiTheme="majorHAnsi" w:hAnsiTheme="majorHAnsi"/>
          <w:sz w:val="24"/>
        </w:rPr>
        <w:br/>
      </w:r>
      <w:r w:rsidRPr="00EE35F4">
        <w:rPr>
          <w:rFonts w:asciiTheme="majorHAnsi" w:hAnsiTheme="majorHAnsi"/>
          <w:sz w:val="24"/>
        </w:rPr>
        <w:br/>
        <w:t xml:space="preserve">As institutions encounter tightening budgets, calls for flexibility, and greater demand for instructional activities supporting students, many are relying on NTT faculty, especially in writing courses. With increasing pressure from state legislatures and campus or system governing bodies to maximize “efficiency” through such measures as increasing class sizes and demanding higher teaching loads, such situations are </w:t>
      </w:r>
      <w:r w:rsidRPr="00EE35F4">
        <w:rPr>
          <w:rFonts w:asciiTheme="majorHAnsi" w:hAnsiTheme="majorHAnsi"/>
        </w:rPr>
        <w:t>becoming more common and the need for specific disciplinary recommendations more urgent.</w:t>
      </w:r>
    </w:p>
    <w:p w14:paraId="48E4C8F4" w14:textId="77777777" w:rsidR="005D3DF7" w:rsidRPr="00702A4A" w:rsidRDefault="005D3DF7" w:rsidP="005D3DF7">
      <w:pPr>
        <w:pStyle w:val="Heading6"/>
        <w:spacing w:before="240" w:after="120"/>
        <w:rPr>
          <w:rFonts w:asciiTheme="majorHAnsi" w:hAnsiTheme="majorHAnsi"/>
          <w:sz w:val="24"/>
        </w:rPr>
      </w:pPr>
      <w:r w:rsidRPr="00702A4A">
        <w:rPr>
          <w:rFonts w:asciiTheme="majorHAnsi" w:hAnsiTheme="majorHAnsi"/>
          <w:sz w:val="24"/>
        </w:rPr>
        <w:lastRenderedPageBreak/>
        <w:t>Summary of Recommendations</w:t>
      </w:r>
    </w:p>
    <w:p w14:paraId="0BFE096B"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Given increasing institutional reliance on NTT faculty in writing courses and departments, recommendations here emerge from two core principles:</w:t>
      </w:r>
    </w:p>
    <w:p w14:paraId="2BBBFA01"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(1) Departments, programs, and faculty must work to ensure equity</w:t>
      </w:r>
      <w:r w:rsidRPr="00EE35F4">
        <w:rPr>
          <w:rFonts w:asciiTheme="majorHAnsi" w:hAnsiTheme="majorHAnsi"/>
          <w:vertAlign w:val="superscript"/>
        </w:rPr>
        <w:t>3</w:t>
      </w:r>
      <w:r w:rsidRPr="00EE35F4">
        <w:rPr>
          <w:rFonts w:asciiTheme="majorHAnsi" w:hAnsiTheme="majorHAnsi"/>
        </w:rPr>
        <w:t xml:space="preserve"> for NTT writing faculty by attending to issues associated with employment: compensation; job security; benefits; access to resources; access to shared governance; and opportunities for professional advancement</w:t>
      </w:r>
      <w:r w:rsidRPr="00EE35F4">
        <w:rPr>
          <w:rFonts w:asciiTheme="majorHAnsi" w:hAnsiTheme="majorHAnsi"/>
          <w:vertAlign w:val="superscript"/>
        </w:rPr>
        <w:t>4</w:t>
      </w:r>
      <w:r w:rsidRPr="00EE35F4">
        <w:rPr>
          <w:rFonts w:asciiTheme="majorHAnsi" w:hAnsiTheme="majorHAnsi"/>
        </w:rPr>
        <w:t>; and</w:t>
      </w:r>
      <w:r w:rsidRPr="00EE35F4">
        <w:rPr>
          <w:rFonts w:asciiTheme="majorHAnsi" w:hAnsiTheme="majorHAnsi"/>
        </w:rPr>
        <w:br/>
      </w:r>
      <w:r w:rsidRPr="00EE35F4">
        <w:rPr>
          <w:rFonts w:asciiTheme="majorHAnsi" w:hAnsiTheme="majorHAnsi"/>
        </w:rPr>
        <w:br/>
        <w:t>(2) Decisions about hiring, workload, and working conditions should be made based on policies applied consistently to all faculty and take into consideration parameters of existing agreements, such as union contracts. Where no parameters currently exist, departments should develop and apply consistent and transparent standards based on factors such as seniority and quality of performance. NTT faculty should have as much input into those standards as possible.  </w:t>
      </w:r>
      <w:r w:rsidRPr="00EE35F4">
        <w:rPr>
          <w:rFonts w:asciiTheme="majorHAnsi" w:hAnsiTheme="majorHAnsi"/>
        </w:rPr>
        <w:br/>
      </w:r>
      <w:r w:rsidRPr="00EE35F4">
        <w:rPr>
          <w:rFonts w:asciiTheme="majorHAnsi" w:hAnsiTheme="majorHAnsi"/>
        </w:rPr>
        <w:br/>
        <w:t>These principles can be applied to a number of practices and situations affecting NTT faculty and their efforts: workload; hiring; evaluation and renewal; basic workplace resources; support for professional development and scholarly activity; and compensation. Each of the following sections outlines specifics related to these principles and their application.</w:t>
      </w:r>
    </w:p>
    <w:p w14:paraId="6572D1AD"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b/>
        </w:rPr>
        <w:t>Workload: Teaching and Service</w:t>
      </w:r>
    </w:p>
    <w:p w14:paraId="00E2C779" w14:textId="77777777" w:rsidR="005D3DF7" w:rsidRPr="00EE35F4" w:rsidRDefault="005D3DF7" w:rsidP="00702A4A">
      <w:pPr>
        <w:numPr>
          <w:ilvl w:val="0"/>
          <w:numId w:val="49"/>
        </w:numPr>
        <w:spacing w:before="120" w:after="120"/>
        <w:ind w:hanging="360"/>
        <w:rPr>
          <w:rFonts w:asciiTheme="majorHAnsi" w:hAnsiTheme="majorHAnsi"/>
        </w:rPr>
      </w:pPr>
      <w:r w:rsidRPr="00EE35F4">
        <w:rPr>
          <w:rFonts w:asciiTheme="majorHAnsi" w:hAnsiTheme="majorHAnsi"/>
        </w:rPr>
        <w:t>NTT faculty workloads should be limited to a maximum twenty students per section of first-year and/or advanced composition courses and a maximum fifteen students per section of basic (or “remedial”) writing courses. Generally, NTT faculty should not teach more than three sections of such courses per term</w:t>
      </w:r>
      <w:r w:rsidRPr="00EE35F4">
        <w:rPr>
          <w:rFonts w:asciiTheme="majorHAnsi" w:hAnsiTheme="majorHAnsi"/>
          <w:vertAlign w:val="superscript"/>
        </w:rPr>
        <w:t>5</w:t>
      </w:r>
      <w:r w:rsidRPr="00EE35F4">
        <w:rPr>
          <w:rFonts w:asciiTheme="majorHAnsi" w:hAnsiTheme="majorHAnsi"/>
        </w:rPr>
        <w:t xml:space="preserve">. If TT/T faculty teaching loads exceed three sections of first-year, advanced, or basic writing courses per term or exceed the class size recommendations, NTT faculty teaching loads should be consistent with those of TT/T faculty. NTT faculty should not teach larger sections of the same course as TT/T faculty. </w:t>
      </w:r>
    </w:p>
    <w:p w14:paraId="170B1678" w14:textId="77777777" w:rsidR="005D3DF7" w:rsidRPr="00EE35F4" w:rsidRDefault="005D3DF7" w:rsidP="00702A4A">
      <w:pPr>
        <w:numPr>
          <w:ilvl w:val="0"/>
          <w:numId w:val="49"/>
        </w:numPr>
        <w:spacing w:before="120" w:after="120"/>
        <w:ind w:hanging="360"/>
        <w:rPr>
          <w:rFonts w:asciiTheme="majorHAnsi" w:hAnsiTheme="majorHAnsi"/>
        </w:rPr>
      </w:pPr>
      <w:r w:rsidRPr="00EE35F4">
        <w:rPr>
          <w:rFonts w:asciiTheme="majorHAnsi" w:hAnsiTheme="majorHAnsi"/>
        </w:rPr>
        <w:t>Departments should not use recommendations regarding numbers of students or sections to prevent the creation of full-time NTT positions, nor to deny health care benefits to NTT faculty.</w:t>
      </w:r>
    </w:p>
    <w:p w14:paraId="1F69C533" w14:textId="77777777" w:rsidR="005D3DF7" w:rsidRPr="00EE35F4" w:rsidRDefault="005D3DF7" w:rsidP="00702A4A">
      <w:pPr>
        <w:numPr>
          <w:ilvl w:val="0"/>
          <w:numId w:val="49"/>
        </w:numPr>
        <w:spacing w:before="120" w:after="120"/>
        <w:ind w:hanging="360"/>
        <w:rPr>
          <w:rFonts w:asciiTheme="majorHAnsi" w:hAnsiTheme="majorHAnsi"/>
        </w:rPr>
      </w:pPr>
      <w:r w:rsidRPr="00EE35F4">
        <w:rPr>
          <w:rFonts w:asciiTheme="majorHAnsi" w:hAnsiTheme="majorHAnsi"/>
        </w:rPr>
        <w:t>NTT faculty should have access to teaching assignments in their areas of expertise and at various levels of the curriculum. NTT faculty should not be assigned exclusively to courses enrolled by students at any one level.</w:t>
      </w:r>
      <w:r w:rsidRPr="00EE35F4">
        <w:rPr>
          <w:rFonts w:asciiTheme="majorHAnsi" w:hAnsiTheme="majorHAnsi"/>
          <w:vertAlign w:val="superscript"/>
        </w:rPr>
        <w:t>6</w:t>
      </w:r>
    </w:p>
    <w:p w14:paraId="37BEFF12" w14:textId="77777777" w:rsidR="005D3DF7" w:rsidRPr="00EE35F4" w:rsidRDefault="005D3DF7" w:rsidP="00702A4A">
      <w:pPr>
        <w:numPr>
          <w:ilvl w:val="0"/>
          <w:numId w:val="49"/>
        </w:numPr>
        <w:spacing w:before="120" w:after="120"/>
        <w:ind w:hanging="360"/>
        <w:rPr>
          <w:rFonts w:asciiTheme="majorHAnsi" w:hAnsiTheme="majorHAnsi"/>
        </w:rPr>
      </w:pPr>
      <w:r w:rsidRPr="00EE35F4">
        <w:rPr>
          <w:rFonts w:asciiTheme="majorHAnsi" w:hAnsiTheme="majorHAnsi"/>
        </w:rPr>
        <w:t>NTT faculty should be protected against last-minute schedule changes/reductions.</w:t>
      </w:r>
      <w:r w:rsidRPr="00EE35F4">
        <w:rPr>
          <w:rFonts w:asciiTheme="majorHAnsi" w:hAnsiTheme="majorHAnsi"/>
          <w:vertAlign w:val="superscript"/>
        </w:rPr>
        <w:t>7</w:t>
      </w:r>
      <w:r w:rsidRPr="00EE35F4">
        <w:rPr>
          <w:rFonts w:asciiTheme="majorHAnsi" w:hAnsiTheme="majorHAnsi"/>
        </w:rPr>
        <w:t xml:space="preserve"> When such changes are absolutely necessary, departments should follow clear and transparent policies for determining how those changes or reductions are made.</w:t>
      </w:r>
    </w:p>
    <w:p w14:paraId="354C26F3" w14:textId="77777777" w:rsidR="005D3DF7" w:rsidRPr="00EE35F4" w:rsidRDefault="005D3DF7" w:rsidP="00702A4A">
      <w:pPr>
        <w:numPr>
          <w:ilvl w:val="0"/>
          <w:numId w:val="49"/>
        </w:numPr>
        <w:spacing w:before="120" w:after="120"/>
        <w:ind w:hanging="360"/>
        <w:rPr>
          <w:rFonts w:asciiTheme="majorHAnsi" w:hAnsiTheme="majorHAnsi"/>
        </w:rPr>
      </w:pPr>
      <w:r w:rsidRPr="00EE35F4">
        <w:rPr>
          <w:rFonts w:asciiTheme="majorHAnsi" w:hAnsiTheme="majorHAnsi"/>
        </w:rPr>
        <w:t>Departments should provide full-time schedules for NTT faculty who want them before offering overloads to TT/T faculty.</w:t>
      </w:r>
    </w:p>
    <w:p w14:paraId="457F0C7F" w14:textId="77777777" w:rsidR="005D3DF7" w:rsidRPr="00EE35F4" w:rsidRDefault="005D3DF7" w:rsidP="00702A4A">
      <w:pPr>
        <w:numPr>
          <w:ilvl w:val="0"/>
          <w:numId w:val="49"/>
        </w:numPr>
        <w:spacing w:before="120" w:after="120"/>
        <w:ind w:hanging="360"/>
        <w:rPr>
          <w:rFonts w:asciiTheme="majorHAnsi" w:hAnsiTheme="majorHAnsi"/>
        </w:rPr>
      </w:pPr>
      <w:r w:rsidRPr="00EE35F4">
        <w:rPr>
          <w:rFonts w:asciiTheme="majorHAnsi" w:hAnsiTheme="majorHAnsi"/>
        </w:rPr>
        <w:t>NTT faculty should be included in and receive credit for department/program/campus governance. Such participation should be compensated.</w:t>
      </w:r>
      <w:r w:rsidRPr="00EE35F4">
        <w:rPr>
          <w:rFonts w:asciiTheme="majorHAnsi" w:hAnsiTheme="majorHAnsi"/>
          <w:vertAlign w:val="superscript"/>
        </w:rPr>
        <w:t>8</w:t>
      </w:r>
      <w:r w:rsidRPr="00EE35F4">
        <w:rPr>
          <w:rFonts w:asciiTheme="majorHAnsi" w:hAnsiTheme="majorHAnsi"/>
        </w:rPr>
        <w:t xml:space="preserve"> When NTT faculty are included in service, they should have voting rights on matters connected to that work.</w:t>
      </w:r>
    </w:p>
    <w:p w14:paraId="360F4445" w14:textId="77777777" w:rsidR="005D3DF7" w:rsidRPr="00EE35F4" w:rsidRDefault="005D3DF7" w:rsidP="00702A4A">
      <w:pPr>
        <w:numPr>
          <w:ilvl w:val="0"/>
          <w:numId w:val="49"/>
        </w:numPr>
        <w:spacing w:before="120" w:after="120"/>
        <w:ind w:hanging="360"/>
        <w:rPr>
          <w:rFonts w:asciiTheme="majorHAnsi" w:hAnsiTheme="majorHAnsi"/>
        </w:rPr>
      </w:pPr>
      <w:r w:rsidRPr="00EE35F4">
        <w:rPr>
          <w:rFonts w:asciiTheme="majorHAnsi" w:hAnsiTheme="majorHAnsi"/>
        </w:rPr>
        <w:t>NTT faculty should be included in curriculum decisions for courses that affect their teaching and receive credit for their involvement.</w:t>
      </w:r>
    </w:p>
    <w:p w14:paraId="02BAE6A2" w14:textId="77777777" w:rsidR="005D3DF7" w:rsidRPr="00EE35F4" w:rsidRDefault="005D3DF7" w:rsidP="00702A4A">
      <w:pPr>
        <w:numPr>
          <w:ilvl w:val="0"/>
          <w:numId w:val="49"/>
        </w:numPr>
        <w:spacing w:before="120" w:after="120"/>
        <w:ind w:hanging="360"/>
        <w:rPr>
          <w:rFonts w:asciiTheme="majorHAnsi" w:hAnsiTheme="majorHAnsi"/>
        </w:rPr>
      </w:pPr>
      <w:r w:rsidRPr="00EE35F4">
        <w:rPr>
          <w:rFonts w:asciiTheme="majorHAnsi" w:hAnsiTheme="majorHAnsi"/>
        </w:rPr>
        <w:t>NTT faculty should be able to vote on all policy matters unless specifically excluded by department code, faculty manual, or collective bargaining agreement.</w:t>
      </w:r>
    </w:p>
    <w:p w14:paraId="0EACF045" w14:textId="77777777" w:rsidR="00702A4A" w:rsidRDefault="00702A4A">
      <w:pPr>
        <w:spacing w:after="200" w:line="276" w:lineRule="auto"/>
        <w:ind w:firstLine="0"/>
        <w:rPr>
          <w:rFonts w:asciiTheme="majorHAnsi" w:hAnsiTheme="majorHAnsi"/>
          <w:b/>
        </w:rPr>
      </w:pPr>
      <w:r>
        <w:rPr>
          <w:rFonts w:asciiTheme="majorHAnsi" w:hAnsiTheme="majorHAnsi"/>
          <w:b/>
        </w:rPr>
        <w:br w:type="page"/>
      </w:r>
    </w:p>
    <w:p w14:paraId="572E86FA" w14:textId="2FF615BE" w:rsidR="005D3DF7" w:rsidRPr="00EE35F4" w:rsidRDefault="005D3DF7" w:rsidP="005D3DF7">
      <w:pPr>
        <w:spacing w:before="240" w:after="120"/>
        <w:ind w:firstLine="0"/>
        <w:rPr>
          <w:rFonts w:asciiTheme="majorHAnsi" w:hAnsiTheme="majorHAnsi"/>
        </w:rPr>
      </w:pPr>
      <w:r w:rsidRPr="00EE35F4">
        <w:rPr>
          <w:rFonts w:asciiTheme="majorHAnsi" w:hAnsiTheme="majorHAnsi"/>
          <w:b/>
        </w:rPr>
        <w:lastRenderedPageBreak/>
        <w:t>Hiring, Evaluation, and Renewal Practices</w:t>
      </w:r>
    </w:p>
    <w:p w14:paraId="2EFD1285" w14:textId="77777777" w:rsidR="005D3DF7" w:rsidRPr="00EE35F4" w:rsidRDefault="005D3DF7" w:rsidP="00702A4A">
      <w:pPr>
        <w:numPr>
          <w:ilvl w:val="0"/>
          <w:numId w:val="5"/>
        </w:numPr>
        <w:spacing w:before="120" w:after="120"/>
        <w:ind w:hanging="360"/>
        <w:rPr>
          <w:rFonts w:asciiTheme="majorHAnsi" w:hAnsiTheme="majorHAnsi"/>
        </w:rPr>
      </w:pPr>
      <w:r w:rsidRPr="00EE35F4">
        <w:rPr>
          <w:rFonts w:asciiTheme="majorHAnsi" w:hAnsiTheme="majorHAnsi"/>
        </w:rPr>
        <w:t>NTT faculty should be hired through formal, transparent, and systematic processes, e.g., submission of an application letter, CV, names of recommenders, and teaching materials followed by a formal interview process and reference check.</w:t>
      </w:r>
      <w:r w:rsidRPr="00EE35F4">
        <w:rPr>
          <w:rFonts w:asciiTheme="majorHAnsi" w:hAnsiTheme="majorHAnsi"/>
          <w:vertAlign w:val="superscript"/>
        </w:rPr>
        <w:t>9</w:t>
      </w:r>
    </w:p>
    <w:p w14:paraId="3DBC3FCC" w14:textId="77777777" w:rsidR="005D3DF7" w:rsidRPr="00EE35F4" w:rsidRDefault="005D3DF7" w:rsidP="00702A4A">
      <w:pPr>
        <w:numPr>
          <w:ilvl w:val="0"/>
          <w:numId w:val="5"/>
        </w:numPr>
        <w:spacing w:before="120" w:after="120"/>
        <w:ind w:hanging="360"/>
        <w:rPr>
          <w:rFonts w:asciiTheme="majorHAnsi" w:hAnsiTheme="majorHAnsi"/>
        </w:rPr>
      </w:pPr>
      <w:r w:rsidRPr="00EE35F4">
        <w:rPr>
          <w:rFonts w:asciiTheme="majorHAnsi" w:hAnsiTheme="majorHAnsi"/>
        </w:rPr>
        <w:t>NTT faculty should undergo rigorous, systematic evaluations on par with evaluations of TT/T faculty in terms of frequency and rigor. Most frequently, these include: teaching observations; student evaluations; teaching portfolio; and evaluations of scholarship and service where appropriate.</w:t>
      </w:r>
      <w:r w:rsidRPr="00EE35F4">
        <w:rPr>
          <w:rFonts w:asciiTheme="majorHAnsi" w:hAnsiTheme="majorHAnsi"/>
          <w:vertAlign w:val="superscript"/>
        </w:rPr>
        <w:t>10</w:t>
      </w:r>
    </w:p>
    <w:p w14:paraId="79E859E2" w14:textId="77777777" w:rsidR="005D3DF7" w:rsidRPr="00EE35F4" w:rsidRDefault="005D3DF7" w:rsidP="00702A4A">
      <w:pPr>
        <w:numPr>
          <w:ilvl w:val="0"/>
          <w:numId w:val="5"/>
        </w:numPr>
        <w:spacing w:before="120" w:after="120"/>
        <w:ind w:hanging="360"/>
        <w:rPr>
          <w:rFonts w:asciiTheme="majorHAnsi" w:hAnsiTheme="majorHAnsi"/>
        </w:rPr>
      </w:pPr>
      <w:r w:rsidRPr="00EE35F4">
        <w:rPr>
          <w:rFonts w:asciiTheme="majorHAnsi" w:hAnsiTheme="majorHAnsi"/>
        </w:rPr>
        <w:t>If NTT faculty are involved in evaluations of superiors, they should receive appropriate provisions/protections.</w:t>
      </w:r>
    </w:p>
    <w:p w14:paraId="61CD3F11" w14:textId="77777777" w:rsidR="005D3DF7" w:rsidRPr="00EE35F4" w:rsidRDefault="005D3DF7" w:rsidP="00702A4A">
      <w:pPr>
        <w:numPr>
          <w:ilvl w:val="0"/>
          <w:numId w:val="5"/>
        </w:numPr>
        <w:spacing w:before="120" w:after="120"/>
        <w:ind w:hanging="360"/>
        <w:rPr>
          <w:rFonts w:asciiTheme="majorHAnsi" w:hAnsiTheme="majorHAnsi"/>
        </w:rPr>
      </w:pPr>
      <w:r w:rsidRPr="00EE35F4">
        <w:rPr>
          <w:rFonts w:asciiTheme="majorHAnsi" w:hAnsiTheme="majorHAnsi"/>
        </w:rPr>
        <w:t>NTT faculty should be hired into long-term (multiyear) lines, including the creation of “teaching specialist” lines</w:t>
      </w:r>
      <w:r w:rsidRPr="00EE35F4">
        <w:rPr>
          <w:rFonts w:asciiTheme="majorHAnsi" w:hAnsiTheme="majorHAnsi"/>
          <w:vertAlign w:val="superscript"/>
        </w:rPr>
        <w:t>11</w:t>
      </w:r>
      <w:r w:rsidRPr="00EE35F4">
        <w:rPr>
          <w:rFonts w:asciiTheme="majorHAnsi" w:hAnsiTheme="majorHAnsi"/>
        </w:rPr>
        <w:t xml:space="preserve"> (or their equivalent), as often as possible.       </w:t>
      </w:r>
    </w:p>
    <w:p w14:paraId="19F954B5" w14:textId="77777777" w:rsidR="005D3DF7" w:rsidRPr="00EE35F4" w:rsidRDefault="005D3DF7" w:rsidP="00702A4A">
      <w:pPr>
        <w:numPr>
          <w:ilvl w:val="0"/>
          <w:numId w:val="5"/>
        </w:numPr>
        <w:spacing w:before="120" w:after="120"/>
        <w:ind w:hanging="360"/>
        <w:rPr>
          <w:rFonts w:asciiTheme="majorHAnsi" w:hAnsiTheme="majorHAnsi"/>
        </w:rPr>
      </w:pPr>
      <w:r w:rsidRPr="00EE35F4">
        <w:rPr>
          <w:rFonts w:asciiTheme="majorHAnsi" w:hAnsiTheme="majorHAnsi"/>
        </w:rPr>
        <w:t>Institutions should develop pathways to tenure-track or other secure positions for NTT faculty whose quality performance has kept them continually renewed.</w:t>
      </w:r>
      <w:r w:rsidRPr="00EE35F4">
        <w:rPr>
          <w:rFonts w:asciiTheme="majorHAnsi" w:hAnsiTheme="majorHAnsi"/>
          <w:vertAlign w:val="superscript"/>
        </w:rPr>
        <w:t>12</w:t>
      </w:r>
    </w:p>
    <w:p w14:paraId="0D335BF4" w14:textId="77777777" w:rsidR="005D3DF7" w:rsidRPr="00EE35F4" w:rsidRDefault="005D3DF7" w:rsidP="00702A4A">
      <w:pPr>
        <w:numPr>
          <w:ilvl w:val="0"/>
          <w:numId w:val="5"/>
        </w:numPr>
        <w:spacing w:before="120" w:after="120"/>
        <w:ind w:hanging="360"/>
        <w:rPr>
          <w:rFonts w:asciiTheme="majorHAnsi" w:hAnsiTheme="majorHAnsi"/>
        </w:rPr>
      </w:pPr>
      <w:r w:rsidRPr="00EE35F4">
        <w:rPr>
          <w:rFonts w:asciiTheme="majorHAnsi" w:hAnsiTheme="majorHAnsi"/>
        </w:rPr>
        <w:t>Departments should provide timely notification of renewals and non-renewals so that NTT faculty have enough time and notice to find other work and/or apply for unemployment insurance and other forms of assistance.</w:t>
      </w:r>
    </w:p>
    <w:p w14:paraId="065B5BF6" w14:textId="77777777" w:rsidR="005D3DF7" w:rsidRPr="00EE35F4" w:rsidRDefault="005D3DF7" w:rsidP="00702A4A">
      <w:pPr>
        <w:numPr>
          <w:ilvl w:val="0"/>
          <w:numId w:val="5"/>
        </w:numPr>
        <w:spacing w:before="120" w:after="120"/>
        <w:ind w:hanging="360"/>
        <w:rPr>
          <w:rFonts w:asciiTheme="majorHAnsi" w:hAnsiTheme="majorHAnsi"/>
        </w:rPr>
      </w:pPr>
      <w:r w:rsidRPr="00EE35F4">
        <w:rPr>
          <w:rFonts w:asciiTheme="majorHAnsi" w:hAnsiTheme="majorHAnsi"/>
        </w:rPr>
        <w:t>NTT faculty should be granted due process rights, including written rationales for renewal and non-renewal decisions, and opportunities to respond to evaluations and non-renewal decisions.</w:t>
      </w:r>
    </w:p>
    <w:p w14:paraId="79E3A84E"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b/>
        </w:rPr>
        <w:t>Basic Workplace Resources</w:t>
      </w:r>
    </w:p>
    <w:p w14:paraId="2DBCC487" w14:textId="77777777" w:rsidR="005D3DF7" w:rsidRPr="00EE35F4" w:rsidRDefault="005D3DF7" w:rsidP="00702A4A">
      <w:pPr>
        <w:numPr>
          <w:ilvl w:val="0"/>
          <w:numId w:val="41"/>
        </w:numPr>
        <w:spacing w:before="120" w:after="120"/>
        <w:ind w:hanging="360"/>
        <w:rPr>
          <w:rFonts w:asciiTheme="majorHAnsi" w:hAnsiTheme="majorHAnsi"/>
        </w:rPr>
      </w:pPr>
      <w:r w:rsidRPr="00EE35F4">
        <w:rPr>
          <w:rFonts w:asciiTheme="majorHAnsi" w:hAnsiTheme="majorHAnsi"/>
        </w:rPr>
        <w:t>NTT faculty require office space that allows them to comply with FERPA and Title IX regulations. They also should have access to a desk and locked storage space; building and workspace access on weekends and nights, including building/office keys or electronic passkeys; access to faculty lounges and dining halls; mailboxes in the main department office; and adequate faculty parking.</w:t>
      </w:r>
    </w:p>
    <w:p w14:paraId="3DCC4330" w14:textId="77777777" w:rsidR="005D3DF7" w:rsidRPr="00EE35F4" w:rsidRDefault="005D3DF7" w:rsidP="00702A4A">
      <w:pPr>
        <w:numPr>
          <w:ilvl w:val="0"/>
          <w:numId w:val="41"/>
        </w:numPr>
        <w:spacing w:before="120" w:after="120"/>
        <w:ind w:hanging="360"/>
        <w:rPr>
          <w:rFonts w:asciiTheme="majorHAnsi" w:hAnsiTheme="majorHAnsi"/>
        </w:rPr>
      </w:pPr>
      <w:r w:rsidRPr="00EE35F4">
        <w:rPr>
          <w:rFonts w:asciiTheme="majorHAnsi" w:hAnsiTheme="majorHAnsi"/>
        </w:rPr>
        <w:t>NTT faculty need access to technology required for teaching including but not limited to: campus email address and phone service; course management software; photocopy machines and codes; and representation on mailing lists, listservs, and rosters for departmental and university opportunities.</w:t>
      </w:r>
    </w:p>
    <w:p w14:paraId="603A619A" w14:textId="77777777" w:rsidR="005D3DF7" w:rsidRPr="00EE35F4" w:rsidRDefault="005D3DF7" w:rsidP="00702A4A">
      <w:pPr>
        <w:numPr>
          <w:ilvl w:val="0"/>
          <w:numId w:val="41"/>
        </w:numPr>
        <w:spacing w:before="120" w:after="120"/>
        <w:ind w:hanging="360"/>
        <w:rPr>
          <w:rFonts w:asciiTheme="majorHAnsi" w:hAnsiTheme="majorHAnsi"/>
        </w:rPr>
      </w:pPr>
      <w:r w:rsidRPr="00EE35F4">
        <w:rPr>
          <w:rFonts w:asciiTheme="majorHAnsi" w:hAnsiTheme="majorHAnsi"/>
        </w:rPr>
        <w:t>NTT faculty should receive written notice of policies that differ for TT/T and NTT faculty. Such policies should not discriminate arbitrarily based on status.</w:t>
      </w:r>
    </w:p>
    <w:p w14:paraId="3ABF30A1"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b/>
        </w:rPr>
        <w:t>Support for Professional Development and Scholarly Activity</w:t>
      </w:r>
    </w:p>
    <w:p w14:paraId="53B9689A" w14:textId="77777777" w:rsidR="005D3DF7" w:rsidRPr="00EE35F4" w:rsidRDefault="005D3DF7" w:rsidP="00702A4A">
      <w:pPr>
        <w:numPr>
          <w:ilvl w:val="0"/>
          <w:numId w:val="3"/>
        </w:numPr>
        <w:spacing w:before="120" w:after="120"/>
        <w:ind w:hanging="360"/>
        <w:rPr>
          <w:rFonts w:asciiTheme="majorHAnsi" w:hAnsiTheme="majorHAnsi"/>
        </w:rPr>
      </w:pPr>
      <w:r w:rsidRPr="00EE35F4">
        <w:rPr>
          <w:rFonts w:asciiTheme="majorHAnsi" w:hAnsiTheme="majorHAnsi"/>
        </w:rPr>
        <w:t>NTT faculty should receive funding for travel and professional opportunities. This support should be proportional to NTT faculty workload.</w:t>
      </w:r>
      <w:r w:rsidRPr="00EE35F4">
        <w:rPr>
          <w:rFonts w:asciiTheme="majorHAnsi" w:hAnsiTheme="majorHAnsi"/>
          <w:vertAlign w:val="superscript"/>
        </w:rPr>
        <w:t>13</w:t>
      </w:r>
    </w:p>
    <w:p w14:paraId="0AEECD2A" w14:textId="77777777" w:rsidR="005D3DF7" w:rsidRPr="00EE35F4" w:rsidRDefault="005D3DF7" w:rsidP="00702A4A">
      <w:pPr>
        <w:numPr>
          <w:ilvl w:val="0"/>
          <w:numId w:val="3"/>
        </w:numPr>
        <w:spacing w:before="120" w:after="120"/>
        <w:ind w:hanging="360"/>
        <w:rPr>
          <w:rFonts w:asciiTheme="majorHAnsi" w:hAnsiTheme="majorHAnsi"/>
        </w:rPr>
      </w:pPr>
      <w:r w:rsidRPr="00EE35F4">
        <w:rPr>
          <w:rFonts w:asciiTheme="majorHAnsi" w:hAnsiTheme="majorHAnsi"/>
        </w:rPr>
        <w:t>NTT faculty should be eligible for no- or low-cost access to graduate courses at institutions with graduate programs, or for subsidized graduate credits if their institutions do not have graduate programs, where such credits enhance professional development or lead toward improved credentials for the teaching of writing.</w:t>
      </w:r>
    </w:p>
    <w:p w14:paraId="06418958" w14:textId="77777777" w:rsidR="005D3DF7" w:rsidRPr="00EE35F4" w:rsidRDefault="005D3DF7" w:rsidP="00702A4A">
      <w:pPr>
        <w:numPr>
          <w:ilvl w:val="0"/>
          <w:numId w:val="3"/>
        </w:numPr>
        <w:spacing w:before="120" w:after="120"/>
        <w:ind w:hanging="360"/>
        <w:rPr>
          <w:rFonts w:asciiTheme="majorHAnsi" w:hAnsiTheme="majorHAnsi"/>
        </w:rPr>
      </w:pPr>
      <w:r w:rsidRPr="00EE35F4">
        <w:rPr>
          <w:rFonts w:asciiTheme="majorHAnsi" w:hAnsiTheme="majorHAnsi"/>
        </w:rPr>
        <w:t>NTT faculty should be eligible for institutional grant funding without requiring TT/T sponsors. Where such eligibility violates policies, departments should offer opportunities to NTT faculty, including collaborations on projects, in order to help NTT faculty become eligible for such resources.</w:t>
      </w:r>
    </w:p>
    <w:p w14:paraId="62EEE270" w14:textId="77777777" w:rsidR="00702A4A" w:rsidRDefault="00702A4A">
      <w:pPr>
        <w:spacing w:after="200" w:line="276" w:lineRule="auto"/>
        <w:ind w:firstLine="0"/>
        <w:rPr>
          <w:rFonts w:asciiTheme="majorHAnsi" w:hAnsiTheme="majorHAnsi"/>
          <w:b/>
        </w:rPr>
      </w:pPr>
      <w:r>
        <w:rPr>
          <w:rFonts w:asciiTheme="majorHAnsi" w:hAnsiTheme="majorHAnsi"/>
          <w:b/>
        </w:rPr>
        <w:br w:type="page"/>
      </w:r>
    </w:p>
    <w:p w14:paraId="1B3EBA94" w14:textId="7B46B732" w:rsidR="005D3DF7" w:rsidRPr="00EE35F4" w:rsidRDefault="005D3DF7" w:rsidP="005D3DF7">
      <w:pPr>
        <w:spacing w:before="240" w:after="120"/>
        <w:ind w:firstLine="0"/>
        <w:rPr>
          <w:rFonts w:asciiTheme="majorHAnsi" w:hAnsiTheme="majorHAnsi"/>
        </w:rPr>
      </w:pPr>
      <w:r w:rsidRPr="00EE35F4">
        <w:rPr>
          <w:rFonts w:asciiTheme="majorHAnsi" w:hAnsiTheme="majorHAnsi"/>
          <w:b/>
        </w:rPr>
        <w:lastRenderedPageBreak/>
        <w:t>Compensation and Benefits</w:t>
      </w:r>
      <w:r w:rsidRPr="00EE35F4">
        <w:rPr>
          <w:rFonts w:asciiTheme="majorHAnsi" w:hAnsiTheme="majorHAnsi"/>
          <w:b/>
          <w:vertAlign w:val="superscript"/>
        </w:rPr>
        <w:t>14</w:t>
      </w:r>
    </w:p>
    <w:p w14:paraId="50888FCA" w14:textId="77777777" w:rsidR="005D3DF7" w:rsidRPr="00EE35F4" w:rsidRDefault="005D3DF7" w:rsidP="00702A4A">
      <w:pPr>
        <w:numPr>
          <w:ilvl w:val="0"/>
          <w:numId w:val="7"/>
        </w:numPr>
        <w:spacing w:before="120" w:after="120"/>
        <w:ind w:hanging="360"/>
        <w:rPr>
          <w:rFonts w:asciiTheme="majorHAnsi" w:hAnsiTheme="majorHAnsi"/>
        </w:rPr>
      </w:pPr>
      <w:r w:rsidRPr="00EE35F4">
        <w:rPr>
          <w:rFonts w:asciiTheme="majorHAnsi" w:hAnsiTheme="majorHAnsi"/>
        </w:rPr>
        <w:t>Consistent with MLA’s current recommendation, NTT faculty should be paid a minimum (as of 2016) of $7,350 for a standard 3-credit-hour semester course or $4,900 for a standard 3-credit-hour quarter or trimester course.</w:t>
      </w:r>
      <w:r w:rsidRPr="00EE35F4">
        <w:rPr>
          <w:rFonts w:asciiTheme="majorHAnsi" w:hAnsiTheme="majorHAnsi"/>
          <w:vertAlign w:val="superscript"/>
        </w:rPr>
        <w:t>15</w:t>
      </w:r>
    </w:p>
    <w:p w14:paraId="220111ED" w14:textId="77777777" w:rsidR="005D3DF7" w:rsidRPr="00EE35F4" w:rsidRDefault="005D3DF7" w:rsidP="00702A4A">
      <w:pPr>
        <w:numPr>
          <w:ilvl w:val="0"/>
          <w:numId w:val="7"/>
        </w:numPr>
        <w:spacing w:before="120" w:after="120"/>
        <w:ind w:hanging="360"/>
        <w:rPr>
          <w:rFonts w:asciiTheme="majorHAnsi" w:hAnsiTheme="majorHAnsi"/>
        </w:rPr>
      </w:pPr>
      <w:r w:rsidRPr="00EE35F4">
        <w:rPr>
          <w:rFonts w:asciiTheme="majorHAnsi" w:hAnsiTheme="majorHAnsi"/>
        </w:rPr>
        <w:t>NTT faculty should be eligible for health insurance.</w:t>
      </w:r>
    </w:p>
    <w:p w14:paraId="1E1966E6" w14:textId="77777777" w:rsidR="005D3DF7" w:rsidRPr="00EE35F4" w:rsidRDefault="005D3DF7" w:rsidP="00702A4A">
      <w:pPr>
        <w:numPr>
          <w:ilvl w:val="0"/>
          <w:numId w:val="7"/>
        </w:numPr>
        <w:spacing w:before="120" w:after="120"/>
        <w:ind w:hanging="360"/>
        <w:rPr>
          <w:rFonts w:asciiTheme="majorHAnsi" w:hAnsiTheme="majorHAnsi"/>
        </w:rPr>
      </w:pPr>
      <w:r w:rsidRPr="00EE35F4">
        <w:rPr>
          <w:rFonts w:asciiTheme="majorHAnsi" w:hAnsiTheme="majorHAnsi"/>
        </w:rPr>
        <w:t>NTT faculty should be offered retirement benefits.</w:t>
      </w:r>
    </w:p>
    <w:p w14:paraId="4F8D4911" w14:textId="77777777" w:rsidR="005D3DF7" w:rsidRPr="00EE35F4" w:rsidRDefault="005D3DF7" w:rsidP="00702A4A">
      <w:pPr>
        <w:numPr>
          <w:ilvl w:val="0"/>
          <w:numId w:val="7"/>
        </w:numPr>
        <w:spacing w:before="120" w:after="120"/>
        <w:ind w:hanging="360"/>
        <w:rPr>
          <w:rFonts w:asciiTheme="majorHAnsi" w:hAnsiTheme="majorHAnsi"/>
        </w:rPr>
      </w:pPr>
      <w:r w:rsidRPr="00EE35F4">
        <w:rPr>
          <w:rFonts w:asciiTheme="majorHAnsi" w:hAnsiTheme="majorHAnsi"/>
        </w:rPr>
        <w:t>NTT faculty should be offered support for filing unemployment claims, and other non-salary benefits.</w:t>
      </w:r>
    </w:p>
    <w:p w14:paraId="7A38DDE6" w14:textId="77777777" w:rsidR="005D3DF7" w:rsidRPr="00EE35F4" w:rsidRDefault="005D3DF7" w:rsidP="00702A4A">
      <w:pPr>
        <w:numPr>
          <w:ilvl w:val="0"/>
          <w:numId w:val="7"/>
        </w:numPr>
        <w:spacing w:before="120" w:after="120"/>
        <w:ind w:hanging="360"/>
        <w:rPr>
          <w:rFonts w:asciiTheme="majorHAnsi" w:hAnsiTheme="majorHAnsi"/>
        </w:rPr>
      </w:pPr>
      <w:r w:rsidRPr="00EE35F4">
        <w:rPr>
          <w:rFonts w:asciiTheme="majorHAnsi" w:hAnsiTheme="majorHAnsi"/>
        </w:rPr>
        <w:t>NTT faculty should be eligible for additional benefits available to TT/T faculty, including sabbatical leave, family/maternity leave, and sick leave.</w:t>
      </w:r>
    </w:p>
    <w:p w14:paraId="72A5C0C1" w14:textId="77777777" w:rsidR="005D3DF7" w:rsidRPr="00702A4A" w:rsidRDefault="005D3DF7" w:rsidP="00702A4A">
      <w:pPr>
        <w:pStyle w:val="Heading6"/>
        <w:spacing w:before="240" w:after="0"/>
        <w:rPr>
          <w:rFonts w:asciiTheme="majorHAnsi" w:hAnsiTheme="majorHAnsi"/>
          <w:sz w:val="20"/>
        </w:rPr>
      </w:pPr>
      <w:r w:rsidRPr="00702A4A">
        <w:rPr>
          <w:rFonts w:asciiTheme="majorHAnsi" w:hAnsiTheme="majorHAnsi"/>
          <w:sz w:val="20"/>
        </w:rPr>
        <w:t>Endnotes</w:t>
      </w:r>
    </w:p>
    <w:p w14:paraId="416E2E4D" w14:textId="77777777"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 xml:space="preserve">1. Reported by Steven Shulman, Chair of the Research Committee for the AAUP and co-director of the Center for the </w:t>
      </w:r>
      <w:r w:rsidR="00702A4A" w:rsidRPr="00702A4A">
        <w:rPr>
          <w:rFonts w:asciiTheme="majorHAnsi" w:hAnsiTheme="majorHAnsi"/>
          <w:sz w:val="16"/>
          <w:szCs w:val="18"/>
        </w:rPr>
        <w:t>Study of Academic Labor (CSAL).</w:t>
      </w:r>
    </w:p>
    <w:p w14:paraId="5DF85899" w14:textId="77777777"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2. As reported by the Coalition on</w:t>
      </w:r>
      <w:r w:rsidR="00702A4A" w:rsidRPr="00702A4A">
        <w:rPr>
          <w:rFonts w:asciiTheme="majorHAnsi" w:hAnsiTheme="majorHAnsi"/>
          <w:sz w:val="16"/>
          <w:szCs w:val="18"/>
        </w:rPr>
        <w:t xml:space="preserve"> the Academic Workforce (CAW). </w:t>
      </w:r>
    </w:p>
    <w:p w14:paraId="363F5EDF" w14:textId="77777777"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 xml:space="preserve">3. The term </w:t>
      </w:r>
      <w:r w:rsidRPr="00702A4A">
        <w:rPr>
          <w:rFonts w:asciiTheme="majorHAnsi" w:hAnsiTheme="majorHAnsi"/>
          <w:b/>
          <w:i/>
          <w:sz w:val="16"/>
          <w:szCs w:val="18"/>
        </w:rPr>
        <w:t>equity</w:t>
      </w:r>
      <w:r w:rsidRPr="00702A4A">
        <w:rPr>
          <w:rFonts w:asciiTheme="majorHAnsi" w:hAnsiTheme="majorHAnsi"/>
          <w:sz w:val="16"/>
          <w:szCs w:val="18"/>
        </w:rPr>
        <w:t xml:space="preserve"> is used deliberately. The term is distinct from but in service to </w:t>
      </w:r>
      <w:r w:rsidRPr="00702A4A">
        <w:rPr>
          <w:rFonts w:asciiTheme="majorHAnsi" w:hAnsiTheme="majorHAnsi"/>
          <w:b/>
          <w:i/>
          <w:sz w:val="16"/>
          <w:szCs w:val="18"/>
        </w:rPr>
        <w:t>equality</w:t>
      </w:r>
      <w:r w:rsidRPr="00702A4A">
        <w:rPr>
          <w:rFonts w:asciiTheme="majorHAnsi" w:hAnsiTheme="majorHAnsi"/>
          <w:sz w:val="16"/>
          <w:szCs w:val="18"/>
        </w:rPr>
        <w:t>. While equal compensation and institutional support for equal responsibilities is important, achieving equality will also involve adopting restorative policies (e.g., low-/no-cost access to PhD programs; retirement buyouts for longtime NTT faculty; etc.) that help to redress injustices that have been en</w:t>
      </w:r>
      <w:r w:rsidR="00702A4A" w:rsidRPr="00702A4A">
        <w:rPr>
          <w:rFonts w:asciiTheme="majorHAnsi" w:hAnsiTheme="majorHAnsi"/>
          <w:sz w:val="16"/>
          <w:szCs w:val="18"/>
        </w:rPr>
        <w:t>demic to the contingent system.</w:t>
      </w:r>
    </w:p>
    <w:p w14:paraId="78DEDAA6" w14:textId="77777777"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4. Adapted from the New Fa</w:t>
      </w:r>
      <w:r w:rsidR="00702A4A" w:rsidRPr="00702A4A">
        <w:rPr>
          <w:rFonts w:asciiTheme="majorHAnsi" w:hAnsiTheme="majorHAnsi"/>
          <w:sz w:val="16"/>
          <w:szCs w:val="18"/>
        </w:rPr>
        <w:t>culty Majority’s “Seven Goals.”</w:t>
      </w:r>
    </w:p>
    <w:p w14:paraId="0F83BF51" w14:textId="77777777"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5. These recommendations are consistent with both ADE recommendations and the CCCC Principles for the Pos</w:t>
      </w:r>
      <w:r w:rsidR="00702A4A" w:rsidRPr="00702A4A">
        <w:rPr>
          <w:rFonts w:asciiTheme="majorHAnsi" w:hAnsiTheme="majorHAnsi"/>
          <w:sz w:val="16"/>
          <w:szCs w:val="18"/>
        </w:rPr>
        <w:t>tsecondary Teaching of Writing.</w:t>
      </w:r>
    </w:p>
    <w:p w14:paraId="3981477B" w14:textId="77777777"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6. Following the recommendation that no faculty teach more than three writing courses per semester or more than sixty students, NTT writing faculty whose contracts mandate four sections per semester will need assignments beyond introductory courses to fill their workloads. Furthermore, teaching across a curriculum improves teaching at each level of it. Finally, access to different courses/areas enhances NTT faculty inclusion in departments, especially as they are more involved in de</w:t>
      </w:r>
      <w:r w:rsidR="00702A4A" w:rsidRPr="00702A4A">
        <w:rPr>
          <w:rFonts w:asciiTheme="majorHAnsi" w:hAnsiTheme="majorHAnsi"/>
          <w:sz w:val="16"/>
          <w:szCs w:val="18"/>
        </w:rPr>
        <w:t>veloping and assessing courses.</w:t>
      </w:r>
    </w:p>
    <w:p w14:paraId="1B535140" w14:textId="77777777"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7. The NFM/CFHE “Who Is Professor Staff?” report highlights harms to students and faculty from just-in-time hiring. Also harmful for faculty and students are sudden changes/reductions in schedules enabled by NTT faculty’s contingent status. Departments should not allow TT/T faculty to force NTT faculty schedule changes unless the</w:t>
      </w:r>
      <w:r w:rsidR="00702A4A" w:rsidRPr="00702A4A">
        <w:rPr>
          <w:rFonts w:asciiTheme="majorHAnsi" w:hAnsiTheme="majorHAnsi"/>
          <w:sz w:val="16"/>
          <w:szCs w:val="18"/>
        </w:rPr>
        <w:t xml:space="preserve"> change is required by policy. </w:t>
      </w:r>
    </w:p>
    <w:p w14:paraId="33A2011B" w14:textId="77777777"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8. NTT faculty should have governance responsibilities as part of their base workload calculation. An array of models exists for crediting committee work, including several that constitute 10 to 20% of an NTT’s base workload. Alternately, NTT faculty’s shared governance responsibilities can be compensated via r</w:t>
      </w:r>
      <w:r w:rsidR="00702A4A" w:rsidRPr="00702A4A">
        <w:rPr>
          <w:rFonts w:asciiTheme="majorHAnsi" w:hAnsiTheme="majorHAnsi"/>
          <w:sz w:val="16"/>
          <w:szCs w:val="18"/>
        </w:rPr>
        <w:t>eassigned time or overload pay.</w:t>
      </w:r>
    </w:p>
    <w:p w14:paraId="03A876E5" w14:textId="77777777"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9. The Delphi Project and others advocate aligning NTT with TT/T hiring practices as closely as possible. Hiring NTT faculty under dubious conditions enables systemic, untenable bias and disrespect. Formal processes provide institutions the benefit of the full range of an NTT faculty member’s qualifications. Poor hiring practices also hurt students and expose</w:t>
      </w:r>
      <w:r w:rsidR="00702A4A" w:rsidRPr="00702A4A">
        <w:rPr>
          <w:rFonts w:asciiTheme="majorHAnsi" w:hAnsiTheme="majorHAnsi"/>
          <w:sz w:val="16"/>
          <w:szCs w:val="18"/>
        </w:rPr>
        <w:t xml:space="preserve"> the institution to legal risk.</w:t>
      </w:r>
    </w:p>
    <w:p w14:paraId="09004622" w14:textId="77777777"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10.  Rigorous evaluations are essential faculty development tools. They also buffer against arbitrary and capricious non-renewals. Evaluation processes should reflect the actual work of NTT faculty, providing faculty opportunities to document teaching excellence and improvements, and be rewarded. Such processes should be connected to career ladders and potenti</w:t>
      </w:r>
      <w:r w:rsidR="00702A4A" w:rsidRPr="00702A4A">
        <w:rPr>
          <w:rFonts w:asciiTheme="majorHAnsi" w:hAnsiTheme="majorHAnsi"/>
          <w:sz w:val="16"/>
          <w:szCs w:val="18"/>
        </w:rPr>
        <w:t>al rank and salary advancement.</w:t>
      </w:r>
    </w:p>
    <w:p w14:paraId="7E449841" w14:textId="77777777"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11.  Long-term contracts offer some job security. We endorse them as improvements over casual and temporary employment, but we advocate for the codification of formalized long-term protected em</w:t>
      </w:r>
      <w:r w:rsidR="00702A4A" w:rsidRPr="00702A4A">
        <w:rPr>
          <w:rFonts w:asciiTheme="majorHAnsi" w:hAnsiTheme="majorHAnsi"/>
          <w:sz w:val="16"/>
          <w:szCs w:val="18"/>
        </w:rPr>
        <w:t>ployment, or instructor tenure.</w:t>
      </w:r>
    </w:p>
    <w:p w14:paraId="722B153F" w14:textId="77777777"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12.  Those pathways should not deny NTT faculty access to continued part-time work if they want it. Pathways should also exist for faculty who have been in part-time positions. One model for NTT-to-TT conversion process is in the Association of Pennsylvania State College and University Faculty (APSCUF) Collective Bargaining Agreement (see Arti</w:t>
      </w:r>
      <w:r w:rsidR="00702A4A" w:rsidRPr="00702A4A">
        <w:rPr>
          <w:rFonts w:asciiTheme="majorHAnsi" w:hAnsiTheme="majorHAnsi"/>
          <w:sz w:val="16"/>
          <w:szCs w:val="18"/>
        </w:rPr>
        <w:t>cle 11.G).</w:t>
      </w:r>
    </w:p>
    <w:p w14:paraId="04C5C1A1" w14:textId="77777777"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13.  Such that a full-time NTT faculty member receives the same travel funding as TT/T faculty; a 50% NTT facu</w:t>
      </w:r>
      <w:r w:rsidR="00702A4A" w:rsidRPr="00702A4A">
        <w:rPr>
          <w:rFonts w:asciiTheme="majorHAnsi" w:hAnsiTheme="majorHAnsi"/>
          <w:sz w:val="16"/>
          <w:szCs w:val="18"/>
        </w:rPr>
        <w:t>lty receives half as much; etc.</w:t>
      </w:r>
    </w:p>
    <w:p w14:paraId="26F08A07" w14:textId="067EE5F5" w:rsidR="00702A4A" w:rsidRPr="00702A4A" w:rsidRDefault="005D3DF7" w:rsidP="00702A4A">
      <w:pPr>
        <w:ind w:left="360" w:hanging="360"/>
        <w:rPr>
          <w:rFonts w:asciiTheme="majorHAnsi" w:hAnsiTheme="majorHAnsi"/>
          <w:sz w:val="16"/>
          <w:szCs w:val="18"/>
        </w:rPr>
      </w:pPr>
      <w:r w:rsidRPr="00702A4A">
        <w:rPr>
          <w:rFonts w:asciiTheme="majorHAnsi" w:hAnsiTheme="majorHAnsi"/>
          <w:sz w:val="16"/>
          <w:szCs w:val="18"/>
        </w:rPr>
        <w:t xml:space="preserve">14.  SEIU’s aspirational call for a combined salary/benefits package of $15,000/section in 2015 offers a strong reminder that per-section salary is not the only relevant figure. Models for benefited positions include Colorado State University, where a 50% appointment qualifies the employee for full benefits participation, including retirement and health, maternity leave, family leave, and sick leave, employee study privileges, tuition scholarships for family members, etc. See </w:t>
      </w:r>
      <w:hyperlink r:id="rId19" w:history="1">
        <w:r w:rsidR="00702A4A" w:rsidRPr="00702A4A">
          <w:rPr>
            <w:rStyle w:val="Hyperlink"/>
            <w:rFonts w:asciiTheme="majorHAnsi" w:hAnsiTheme="majorHAnsi"/>
            <w:sz w:val="16"/>
            <w:szCs w:val="18"/>
          </w:rPr>
          <w:t>http://www.hrs.colostate.edu/benefits/</w:t>
        </w:r>
      </w:hyperlink>
      <w:r w:rsidR="00702A4A" w:rsidRPr="00702A4A">
        <w:rPr>
          <w:rFonts w:asciiTheme="majorHAnsi" w:hAnsiTheme="majorHAnsi"/>
          <w:sz w:val="16"/>
          <w:szCs w:val="18"/>
        </w:rPr>
        <w:t>.</w:t>
      </w:r>
    </w:p>
    <w:p w14:paraId="5BE0A439" w14:textId="030D0E76" w:rsidR="005D3DF7" w:rsidRPr="00702A4A" w:rsidRDefault="005D3DF7" w:rsidP="00702A4A">
      <w:pPr>
        <w:ind w:left="360" w:hanging="360"/>
        <w:rPr>
          <w:rFonts w:asciiTheme="majorHAnsi" w:hAnsiTheme="majorHAnsi"/>
          <w:sz w:val="20"/>
        </w:rPr>
      </w:pPr>
      <w:r w:rsidRPr="00702A4A">
        <w:rPr>
          <w:rFonts w:asciiTheme="majorHAnsi" w:hAnsiTheme="majorHAnsi"/>
          <w:sz w:val="16"/>
          <w:szCs w:val="18"/>
        </w:rPr>
        <w:t>15.  See “MLA Recommendation on Minimum Per-Course Compensation for Part-Time Faculty Members” for an explanation of how they arrived at this figure.</w:t>
      </w:r>
    </w:p>
    <w:p w14:paraId="5408FF24" w14:textId="77777777" w:rsidR="005D3DF7" w:rsidRPr="00EE35F4" w:rsidRDefault="005D3DF7" w:rsidP="005D3DF7">
      <w:pPr>
        <w:spacing w:before="240" w:after="120"/>
        <w:rPr>
          <w:rFonts w:asciiTheme="majorHAnsi" w:hAnsiTheme="majorHAnsi"/>
          <w:sz w:val="24"/>
        </w:rPr>
      </w:pPr>
      <w:r w:rsidRPr="00EE35F4">
        <w:rPr>
          <w:rFonts w:asciiTheme="majorHAnsi" w:hAnsiTheme="majorHAnsi"/>
          <w:sz w:val="24"/>
        </w:rPr>
        <w:br w:type="page"/>
      </w:r>
    </w:p>
    <w:p w14:paraId="7830D926" w14:textId="77777777" w:rsidR="005D3DF7" w:rsidRPr="00A35502" w:rsidRDefault="005D3DF7" w:rsidP="005D3DF7">
      <w:pPr>
        <w:pStyle w:val="Heading2"/>
        <w:spacing w:before="240" w:after="120"/>
        <w:rPr>
          <w:rFonts w:asciiTheme="majorHAnsi" w:hAnsiTheme="majorHAnsi"/>
          <w:b/>
          <w:color w:val="003300"/>
          <w:sz w:val="28"/>
        </w:rPr>
      </w:pPr>
      <w:bookmarkStart w:id="51" w:name="h.4f1mdlm" w:colFirst="0" w:colLast="0"/>
      <w:bookmarkStart w:id="52" w:name="_Toc452993118"/>
      <w:bookmarkEnd w:id="51"/>
      <w:r w:rsidRPr="00A35502">
        <w:rPr>
          <w:rFonts w:asciiTheme="majorHAnsi" w:hAnsiTheme="majorHAnsi"/>
          <w:b/>
          <w:color w:val="003300"/>
          <w:sz w:val="32"/>
          <w:szCs w:val="28"/>
        </w:rPr>
        <w:lastRenderedPageBreak/>
        <w:t>Appendix G: University of Colorado at Boulder, The Boulder Faculty Assembly Resolution for Instructor Tenure - 2009</w:t>
      </w:r>
      <w:bookmarkEnd w:id="52"/>
    </w:p>
    <w:p w14:paraId="0507752E" w14:textId="77777777" w:rsidR="005D3DF7" w:rsidRPr="00EE35F4" w:rsidRDefault="005D3DF7" w:rsidP="005D3DF7">
      <w:pPr>
        <w:spacing w:before="240" w:after="120"/>
        <w:rPr>
          <w:rFonts w:asciiTheme="majorHAnsi" w:hAnsiTheme="majorHAnsi"/>
          <w:sz w:val="24"/>
        </w:rPr>
      </w:pPr>
    </w:p>
    <w:p w14:paraId="0A270842" w14:textId="77777777" w:rsidR="005D3DF7" w:rsidRPr="00EE35F4" w:rsidRDefault="005D3DF7" w:rsidP="005D3DF7">
      <w:pPr>
        <w:rPr>
          <w:rFonts w:asciiTheme="majorHAnsi" w:hAnsiTheme="majorHAnsi"/>
        </w:rPr>
      </w:pPr>
      <w:r w:rsidRPr="00EE35F4">
        <w:rPr>
          <w:rFonts w:asciiTheme="majorHAnsi" w:hAnsiTheme="majorHAnsi"/>
        </w:rPr>
        <w:t>Suzann Hudson</w:t>
      </w:r>
    </w:p>
    <w:p w14:paraId="16747557" w14:textId="77777777" w:rsidR="005D3DF7" w:rsidRPr="00EE35F4" w:rsidRDefault="005D3DF7" w:rsidP="005D3DF7">
      <w:pPr>
        <w:rPr>
          <w:rFonts w:asciiTheme="majorHAnsi" w:hAnsiTheme="majorHAnsi"/>
          <w:sz w:val="24"/>
        </w:rPr>
      </w:pPr>
      <w:r w:rsidRPr="00EE35F4">
        <w:rPr>
          <w:rFonts w:asciiTheme="majorHAnsi" w:hAnsiTheme="majorHAnsi"/>
          <w:sz w:val="24"/>
        </w:rPr>
        <w:t>BFA At-Large Representative</w:t>
      </w:r>
    </w:p>
    <w:p w14:paraId="0CC64846" w14:textId="77777777" w:rsidR="005D3DF7" w:rsidRPr="00EE35F4" w:rsidRDefault="005D3DF7" w:rsidP="005D3DF7">
      <w:pPr>
        <w:rPr>
          <w:rFonts w:asciiTheme="majorHAnsi" w:hAnsiTheme="majorHAnsi"/>
          <w:sz w:val="24"/>
        </w:rPr>
      </w:pPr>
      <w:r w:rsidRPr="00EE35F4">
        <w:rPr>
          <w:rFonts w:asciiTheme="majorHAnsi" w:hAnsiTheme="majorHAnsi"/>
          <w:sz w:val="24"/>
        </w:rPr>
        <w:t xml:space="preserve">Motion to Create an Instructor Tenure System at UCB  </w:t>
      </w:r>
    </w:p>
    <w:p w14:paraId="2DCF6BB7" w14:textId="77777777" w:rsidR="005D3DF7" w:rsidRPr="00EE35F4" w:rsidRDefault="005D3DF7" w:rsidP="005D3DF7">
      <w:pPr>
        <w:rPr>
          <w:rFonts w:asciiTheme="majorHAnsi" w:hAnsiTheme="majorHAnsi"/>
          <w:sz w:val="24"/>
        </w:rPr>
      </w:pPr>
      <w:r w:rsidRPr="00EE35F4">
        <w:rPr>
          <w:rFonts w:asciiTheme="majorHAnsi" w:hAnsiTheme="majorHAnsi"/>
          <w:sz w:val="24"/>
        </w:rPr>
        <w:t>BFA-M-040209</w:t>
      </w:r>
    </w:p>
    <w:p w14:paraId="09640D7F" w14:textId="77777777" w:rsidR="005D3DF7" w:rsidRPr="00EE35F4" w:rsidRDefault="005D3DF7" w:rsidP="005D3DF7">
      <w:pPr>
        <w:tabs>
          <w:tab w:val="right" w:pos="8640"/>
        </w:tabs>
        <w:rPr>
          <w:rFonts w:asciiTheme="majorHAnsi" w:hAnsiTheme="majorHAnsi"/>
          <w:sz w:val="24"/>
        </w:rPr>
      </w:pPr>
    </w:p>
    <w:p w14:paraId="5E667596" w14:textId="77777777" w:rsidR="005D3DF7" w:rsidRPr="00EE35F4" w:rsidRDefault="005D3DF7" w:rsidP="005D3DF7">
      <w:pPr>
        <w:tabs>
          <w:tab w:val="right" w:pos="8640"/>
        </w:tabs>
        <w:rPr>
          <w:rFonts w:asciiTheme="majorHAnsi" w:hAnsiTheme="majorHAnsi"/>
          <w:sz w:val="24"/>
        </w:rPr>
      </w:pPr>
      <w:r w:rsidRPr="00EE35F4">
        <w:rPr>
          <w:rFonts w:asciiTheme="majorHAnsi" w:hAnsiTheme="majorHAnsi"/>
          <w:b/>
          <w:sz w:val="24"/>
        </w:rPr>
        <w:t>RESOLUTION</w:t>
      </w:r>
    </w:p>
    <w:p w14:paraId="5D8F3D4D" w14:textId="4FB375E3" w:rsidR="005D3DF7" w:rsidRPr="00EE35F4" w:rsidRDefault="005D3DF7" w:rsidP="005D0811">
      <w:pPr>
        <w:tabs>
          <w:tab w:val="right" w:pos="8640"/>
        </w:tabs>
        <w:ind w:left="360" w:firstLine="0"/>
        <w:rPr>
          <w:rFonts w:asciiTheme="majorHAnsi" w:hAnsiTheme="majorHAnsi"/>
          <w:sz w:val="24"/>
        </w:rPr>
      </w:pPr>
      <w:r w:rsidRPr="00EE35F4">
        <w:rPr>
          <w:rFonts w:asciiTheme="majorHAnsi" w:hAnsiTheme="majorHAnsi"/>
          <w:b/>
          <w:sz w:val="24"/>
        </w:rPr>
        <w:t>The Boulder Faculty Assembly Resolves</w:t>
      </w:r>
      <w:r w:rsidR="005D0811" w:rsidRPr="00EE35F4">
        <w:rPr>
          <w:rFonts w:asciiTheme="majorHAnsi" w:hAnsiTheme="majorHAnsi"/>
          <w:b/>
          <w:sz w:val="24"/>
        </w:rPr>
        <w:t xml:space="preserve"> </w:t>
      </w:r>
      <w:r w:rsidRPr="00EE35F4">
        <w:rPr>
          <w:rFonts w:asciiTheme="majorHAnsi" w:hAnsiTheme="majorHAnsi"/>
          <w:b/>
          <w:sz w:val="24"/>
        </w:rPr>
        <w:t>that the Board of Regents Should Create a System for Instructor Tenure</w:t>
      </w:r>
      <w:r w:rsidR="005D0811" w:rsidRPr="00EE35F4">
        <w:rPr>
          <w:rFonts w:asciiTheme="majorHAnsi" w:hAnsiTheme="majorHAnsi"/>
          <w:b/>
          <w:sz w:val="24"/>
        </w:rPr>
        <w:t xml:space="preserve"> </w:t>
      </w:r>
      <w:r w:rsidRPr="00EE35F4">
        <w:rPr>
          <w:rFonts w:asciiTheme="majorHAnsi" w:hAnsiTheme="majorHAnsi"/>
          <w:b/>
          <w:sz w:val="24"/>
        </w:rPr>
        <w:t>at the University of Colorado at Boulder</w:t>
      </w:r>
    </w:p>
    <w:p w14:paraId="5B2F9DAB" w14:textId="77777777" w:rsidR="005D3DF7" w:rsidRPr="00EE35F4" w:rsidRDefault="005D3DF7" w:rsidP="005D3DF7">
      <w:pPr>
        <w:spacing w:before="240" w:after="120"/>
        <w:ind w:firstLine="0"/>
        <w:rPr>
          <w:rFonts w:asciiTheme="majorHAnsi" w:hAnsiTheme="majorHAnsi"/>
        </w:rPr>
      </w:pPr>
      <w:r w:rsidRPr="00EE35F4">
        <w:rPr>
          <w:rFonts w:asciiTheme="majorHAnsi" w:hAnsiTheme="majorHAnsi"/>
        </w:rPr>
        <w:t xml:space="preserve">WHEREAS it is desirable to improve the intellectual climate of the university and the </w:t>
      </w:r>
    </w:p>
    <w:p w14:paraId="4CC09C23" w14:textId="77777777" w:rsidR="005D3DF7" w:rsidRPr="00EE35F4" w:rsidRDefault="005D3DF7" w:rsidP="005D3DF7">
      <w:pPr>
        <w:spacing w:before="240" w:after="120"/>
        <w:rPr>
          <w:rFonts w:asciiTheme="majorHAnsi" w:hAnsiTheme="majorHAnsi"/>
        </w:rPr>
      </w:pPr>
      <w:r w:rsidRPr="00EE35F4">
        <w:rPr>
          <w:rFonts w:asciiTheme="majorHAnsi" w:hAnsiTheme="majorHAnsi"/>
        </w:rPr>
        <w:tab/>
        <w:t>quality of instruction offered at CU Boulder by all faculty, and</w:t>
      </w:r>
    </w:p>
    <w:p w14:paraId="1432BD97"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WHEREAS academic freedom for teachers is essential for the pursuit of excellence in undergraduate education because without it, instructors are not free to grade rigorously, discuss controversial issues in the classroom, or exercise their professional judgment in determining the content of their courses without being subjected to retaliation from students or pressure from outside forces, and</w:t>
      </w:r>
    </w:p>
    <w:p w14:paraId="799FF948"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WHEREAS academic freedom is required for full participation in faculty governance, and</w:t>
      </w:r>
    </w:p>
    <w:p w14:paraId="092B3E8A"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WHEREAS Colorado state laws assert that faculty can have only one of two contractual statuses—at will or tenured—and</w:t>
      </w:r>
    </w:p>
    <w:p w14:paraId="5B0ADF84"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WHEREAS, according to the American Association of University Professors (AAUP), “[T]enure can be granted at any professional rank. . . . A faculty member whose position focuses primarily on teaching, supported by sufficient opportunity for scholarship and service, is also engaged in tenurable academic work”;</w:t>
      </w:r>
      <w:r w:rsidRPr="00EE35F4">
        <w:rPr>
          <w:rFonts w:asciiTheme="majorHAnsi" w:hAnsiTheme="majorHAnsi"/>
          <w:vertAlign w:val="superscript"/>
        </w:rPr>
        <w:footnoteReference w:id="3"/>
      </w:r>
      <w:r w:rsidRPr="00EE35F4">
        <w:rPr>
          <w:rFonts w:asciiTheme="majorHAnsi" w:hAnsiTheme="majorHAnsi"/>
        </w:rPr>
        <w:t xml:space="preserve"> and</w:t>
      </w:r>
    </w:p>
    <w:p w14:paraId="4B2DAB50"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WHEREAS Colorado state laws do not prohibit tenure for instructors, and</w:t>
      </w:r>
    </w:p>
    <w:p w14:paraId="3211E62B"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WHEREAS at-will employment is inimical to academic freedom, in that at-will employment means that faculty can be terminated at any time, for any reason, including for political or personal reasons or for differences of opinion, or for no reason, and</w:t>
      </w:r>
    </w:p>
    <w:p w14:paraId="73B7CBBF"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WHEREAS tenure provides the only workable protection for faculty against violations of academic freedom, and</w:t>
      </w:r>
    </w:p>
    <w:p w14:paraId="6D104D34"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WHEREAS the majority of faculty at CU Boulder,</w:t>
      </w:r>
      <w:r w:rsidRPr="00EE35F4">
        <w:rPr>
          <w:rFonts w:asciiTheme="majorHAnsi" w:hAnsiTheme="majorHAnsi"/>
          <w:vertAlign w:val="superscript"/>
        </w:rPr>
        <w:footnoteReference w:id="4"/>
      </w:r>
      <w:r w:rsidRPr="00EE35F4">
        <w:rPr>
          <w:rFonts w:asciiTheme="majorHAnsi" w:hAnsiTheme="majorHAnsi"/>
        </w:rPr>
        <w:t xml:space="preserve"> who teach the majority of classes,</w:t>
      </w:r>
      <w:r w:rsidRPr="00EE35F4">
        <w:rPr>
          <w:rFonts w:asciiTheme="majorHAnsi" w:hAnsiTheme="majorHAnsi"/>
          <w:vertAlign w:val="superscript"/>
        </w:rPr>
        <w:footnoteReference w:id="5"/>
      </w:r>
      <w:r w:rsidRPr="00EE35F4">
        <w:rPr>
          <w:rFonts w:asciiTheme="majorHAnsi" w:hAnsiTheme="majorHAnsi"/>
        </w:rPr>
        <w:t xml:space="preserve"> serve at-will, without access to a tenure track, and</w:t>
      </w:r>
    </w:p>
    <w:p w14:paraId="256EB69C"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lastRenderedPageBreak/>
        <w:t>WHEREAS the at-will status of these faculty members negates their academic freedom and access to the due process necessary to achieve their potential level of excellence in the classroom and in institutional affairs, and</w:t>
      </w:r>
    </w:p>
    <w:p w14:paraId="236035BF"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WHEREAS a tenure system for instructors does not require pay raises or promotions and can therefore be implemented without additional personnel costs to the University; and</w:t>
      </w:r>
    </w:p>
    <w:p w14:paraId="3CFAA745"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WHEREAS the status of “lecturer,” “adjunct,” or “adjoint” (hereafter referred to generically as “lecturer”) is intended to denote individuals who give occasional classes and presentations, not someone in a continuing status, and</w:t>
      </w:r>
    </w:p>
    <w:p w14:paraId="76EFD575"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WHEREAS there is no need to consider lecturers per se for instructor tenure because this resolution assumes that academic units have been complying with the intent and spirit of the Office of Academic Affairs’ recommendations</w:t>
      </w:r>
      <w:r w:rsidRPr="00EE35F4">
        <w:rPr>
          <w:rFonts w:asciiTheme="majorHAnsi" w:hAnsiTheme="majorHAnsi"/>
          <w:vertAlign w:val="superscript"/>
        </w:rPr>
        <w:footnoteReference w:id="6"/>
      </w:r>
      <w:r w:rsidRPr="00EE35F4">
        <w:rPr>
          <w:rFonts w:asciiTheme="majorHAnsi" w:hAnsiTheme="majorHAnsi"/>
        </w:rPr>
        <w:t xml:space="preserve"> in response to the 2007-08 Task Force on Instructors as well as to the Instructor Bill of Rights.</w:t>
      </w:r>
      <w:r w:rsidRPr="00EE35F4">
        <w:rPr>
          <w:rFonts w:asciiTheme="majorHAnsi" w:hAnsiTheme="majorHAnsi"/>
          <w:vertAlign w:val="superscript"/>
        </w:rPr>
        <w:footnoteReference w:id="7"/>
      </w:r>
      <w:r w:rsidRPr="00EE35F4">
        <w:rPr>
          <w:rFonts w:asciiTheme="majorHAnsi" w:hAnsiTheme="majorHAnsi"/>
        </w:rPr>
        <w:t xml:space="preserve"> Both of these documents say that lecturers who have served three years or more should be re-rostered as instructors. However, in cases where academic units have kept teaching faculty in lectureships for periods of time exceeding those recommended by the above-mentioned policies, lecturers will be eligible for instructor tenure; and</w:t>
      </w:r>
    </w:p>
    <w:p w14:paraId="69DCF013"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WHEREAS a tenure system for instructors can be implemented without restructuring many of the systems already in place at CU Boulder,</w:t>
      </w:r>
    </w:p>
    <w:p w14:paraId="5BF2EB6F"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BE IT RESOLVED that the Boulder Faculty Assembly endorses the implementation of an "instructor tenure" track that is distinct from the "professor tenure" track, and incorporates the same differences in workload expectations, job titles, and pay scales that currently exist.  The “instructor tenure” track should also follow the model established by the AAUP in its "Recommended Institutional Regulations on Academic Freedom and Tenure."</w:t>
      </w:r>
      <w:r w:rsidRPr="00EE35F4">
        <w:rPr>
          <w:rFonts w:asciiTheme="majorHAnsi" w:hAnsiTheme="majorHAnsi"/>
          <w:vertAlign w:val="superscript"/>
        </w:rPr>
        <w:footnoteReference w:id="8"/>
      </w:r>
    </w:p>
    <w:p w14:paraId="113ED5B2" w14:textId="77777777" w:rsidR="005D3DF7" w:rsidRPr="00EE35F4" w:rsidRDefault="005D3DF7" w:rsidP="005D3DF7">
      <w:pPr>
        <w:spacing w:before="240" w:after="120"/>
        <w:ind w:left="720" w:hanging="720"/>
        <w:rPr>
          <w:rFonts w:asciiTheme="majorHAnsi" w:hAnsiTheme="majorHAnsi"/>
        </w:rPr>
      </w:pPr>
      <w:r w:rsidRPr="00EE35F4">
        <w:rPr>
          <w:rFonts w:asciiTheme="majorHAnsi" w:hAnsiTheme="majorHAnsi"/>
        </w:rPr>
        <w:t>BE IT FURTHER RESOLVED that the Boulder Faculty Assembly shall constitute a standing committee for at-will faculty whose initial task shall be to work with the CU-Boulder Administration to establish, in an expeditious fashion, but not later than June 1, 2010, the relevant details for implementing an instructor tenure program on the CU-Boulder campus.</w:t>
      </w:r>
    </w:p>
    <w:p w14:paraId="3298D55F" w14:textId="77777777" w:rsidR="005D3DF7" w:rsidRPr="00EE35F4" w:rsidRDefault="005D3DF7" w:rsidP="005D3DF7">
      <w:pPr>
        <w:tabs>
          <w:tab w:val="left" w:pos="720"/>
        </w:tabs>
        <w:spacing w:before="240" w:after="120"/>
        <w:ind w:left="1440" w:hanging="1440"/>
        <w:rPr>
          <w:rFonts w:asciiTheme="majorHAnsi" w:hAnsiTheme="majorHAnsi"/>
        </w:rPr>
      </w:pPr>
      <w:r w:rsidRPr="00EE35F4">
        <w:rPr>
          <w:rFonts w:asciiTheme="majorHAnsi" w:hAnsiTheme="majorHAnsi"/>
        </w:rPr>
        <w:tab/>
        <w:t>From Suzanne Hudson: April 2, 2009</w:t>
      </w:r>
    </w:p>
    <w:p w14:paraId="2C3E70D5" w14:textId="77777777" w:rsidR="005754DC" w:rsidRPr="00EE35F4" w:rsidRDefault="005754DC">
      <w:pPr>
        <w:rPr>
          <w:rFonts w:asciiTheme="majorHAnsi" w:hAnsiTheme="majorHAnsi"/>
        </w:rPr>
      </w:pPr>
    </w:p>
    <w:sectPr w:rsidR="005754DC" w:rsidRPr="00EE35F4" w:rsidSect="00772E84">
      <w:pgSz w:w="12240" w:h="15840"/>
      <w:pgMar w:top="720" w:right="1008" w:bottom="720" w:left="1008" w:header="720" w:footer="576" w:gutter="0"/>
      <w:pgNumType w:start="1"/>
      <w:cols w:space="720" w:equalWidth="0">
        <w:col w:w="8982"/>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2713" w14:textId="77777777" w:rsidR="00F745D3" w:rsidRDefault="00F745D3" w:rsidP="005D3DF7">
      <w:r>
        <w:separator/>
      </w:r>
    </w:p>
  </w:endnote>
  <w:endnote w:type="continuationSeparator" w:id="0">
    <w:p w14:paraId="010FBA09" w14:textId="77777777" w:rsidR="00F745D3" w:rsidRDefault="00F745D3" w:rsidP="005D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709716683"/>
      <w:docPartObj>
        <w:docPartGallery w:val="Page Numbers (Bottom of Page)"/>
        <w:docPartUnique/>
      </w:docPartObj>
    </w:sdtPr>
    <w:sdtEndPr>
      <w:rPr>
        <w:noProof/>
        <w:sz w:val="18"/>
      </w:rPr>
    </w:sdtEndPr>
    <w:sdtContent>
      <w:p w14:paraId="420D7616" w14:textId="010E956D" w:rsidR="00E4147A" w:rsidRPr="00CD393E" w:rsidRDefault="00E4147A" w:rsidP="00772E84">
        <w:pPr>
          <w:pStyle w:val="Footer"/>
          <w:ind w:firstLine="0"/>
          <w:jc w:val="center"/>
          <w:rPr>
            <w:sz w:val="18"/>
          </w:rPr>
        </w:pPr>
        <w:r w:rsidRPr="00CD393E">
          <w:rPr>
            <w:rFonts w:ascii="Cambria" w:hAnsi="Cambria"/>
            <w:sz w:val="18"/>
          </w:rPr>
          <w:fldChar w:fldCharType="begin"/>
        </w:r>
        <w:r w:rsidRPr="00CD393E">
          <w:rPr>
            <w:rFonts w:ascii="Cambria" w:hAnsi="Cambria"/>
            <w:sz w:val="18"/>
          </w:rPr>
          <w:instrText xml:space="preserve"> PAGE   \* MERGEFORMAT </w:instrText>
        </w:r>
        <w:r w:rsidRPr="00CD393E">
          <w:rPr>
            <w:rFonts w:ascii="Cambria" w:hAnsi="Cambria"/>
            <w:sz w:val="18"/>
          </w:rPr>
          <w:fldChar w:fldCharType="separate"/>
        </w:r>
        <w:r w:rsidR="00BB39CA">
          <w:rPr>
            <w:rFonts w:ascii="Cambria" w:hAnsi="Cambria"/>
            <w:noProof/>
            <w:sz w:val="18"/>
          </w:rPr>
          <w:t>1</w:t>
        </w:r>
        <w:r w:rsidRPr="00CD393E">
          <w:rPr>
            <w:rFonts w:ascii="Cambria" w:hAnsi="Cambria"/>
            <w:noProof/>
            <w:sz w:val="18"/>
          </w:rPr>
          <w:fldChar w:fldCharType="end"/>
        </w:r>
      </w:p>
    </w:sdtContent>
  </w:sdt>
  <w:p w14:paraId="197813A5" w14:textId="77777777" w:rsidR="00E4147A" w:rsidRPr="00451B72" w:rsidRDefault="00E4147A" w:rsidP="00B848BA">
    <w:pPr>
      <w:tabs>
        <w:tab w:val="right" w:pos="10260"/>
      </w:tabs>
      <w:ind w:left="-360" w:firstLine="0"/>
      <w:jc w:val="center"/>
      <w:rPr>
        <w:rFonts w:ascii="Calibri Light" w:hAnsi="Calibri Ligh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405604"/>
      <w:docPartObj>
        <w:docPartGallery w:val="Page Numbers (Bottom of Page)"/>
        <w:docPartUnique/>
      </w:docPartObj>
    </w:sdtPr>
    <w:sdtEndPr>
      <w:rPr>
        <w:rFonts w:asciiTheme="majorHAnsi" w:hAnsiTheme="majorHAnsi"/>
        <w:noProof/>
        <w:sz w:val="18"/>
      </w:rPr>
    </w:sdtEndPr>
    <w:sdtContent>
      <w:p w14:paraId="57719861" w14:textId="0435914F" w:rsidR="00E4147A" w:rsidRPr="00CD393E" w:rsidRDefault="00E4147A" w:rsidP="00772E84">
        <w:pPr>
          <w:pStyle w:val="Footer"/>
          <w:ind w:firstLine="0"/>
          <w:jc w:val="center"/>
          <w:rPr>
            <w:rFonts w:asciiTheme="majorHAnsi" w:hAnsiTheme="majorHAnsi"/>
            <w:sz w:val="18"/>
          </w:rPr>
        </w:pPr>
        <w:r w:rsidRPr="00CD393E">
          <w:rPr>
            <w:rFonts w:asciiTheme="majorHAnsi" w:hAnsiTheme="majorHAnsi"/>
            <w:sz w:val="18"/>
          </w:rPr>
          <w:fldChar w:fldCharType="begin"/>
        </w:r>
        <w:r w:rsidRPr="00CD393E">
          <w:rPr>
            <w:rFonts w:asciiTheme="majorHAnsi" w:hAnsiTheme="majorHAnsi"/>
            <w:sz w:val="18"/>
          </w:rPr>
          <w:instrText xml:space="preserve"> PAGE   \* MERGEFORMAT </w:instrText>
        </w:r>
        <w:r w:rsidRPr="00CD393E">
          <w:rPr>
            <w:rFonts w:asciiTheme="majorHAnsi" w:hAnsiTheme="majorHAnsi"/>
            <w:sz w:val="18"/>
          </w:rPr>
          <w:fldChar w:fldCharType="separate"/>
        </w:r>
        <w:r w:rsidR="00BB39CA">
          <w:rPr>
            <w:rFonts w:asciiTheme="majorHAnsi" w:hAnsiTheme="majorHAnsi"/>
            <w:noProof/>
            <w:sz w:val="18"/>
          </w:rPr>
          <w:t>1</w:t>
        </w:r>
        <w:r w:rsidRPr="00CD393E">
          <w:rPr>
            <w:rFonts w:asciiTheme="majorHAnsi" w:hAnsiTheme="majorHAnsi"/>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3C6F" w14:textId="77777777" w:rsidR="00F745D3" w:rsidRDefault="00F745D3" w:rsidP="005D3DF7">
      <w:r>
        <w:separator/>
      </w:r>
    </w:p>
  </w:footnote>
  <w:footnote w:type="continuationSeparator" w:id="0">
    <w:p w14:paraId="52278A79" w14:textId="77777777" w:rsidR="00F745D3" w:rsidRDefault="00F745D3" w:rsidP="005D3DF7">
      <w:r>
        <w:continuationSeparator/>
      </w:r>
    </w:p>
  </w:footnote>
  <w:footnote w:id="1">
    <w:p w14:paraId="4EDDB683" w14:textId="77777777" w:rsidR="00E4147A" w:rsidRDefault="00E4147A" w:rsidP="005D3DF7">
      <w:r>
        <w:rPr>
          <w:vertAlign w:val="superscript"/>
        </w:rPr>
        <w:footnoteRef/>
      </w:r>
      <w:r>
        <w:t xml:space="preserve"> </w:t>
      </w:r>
      <w:r w:rsidRPr="00D9344A">
        <w:rPr>
          <w:rFonts w:asciiTheme="majorHAnsi" w:hAnsiTheme="majorHAnsi"/>
        </w:rPr>
        <w:t>Documentation for Tenure and Promotion Application, January 2015, http://provost.colostate.edu/faculty-administrative-professionals/</w:t>
      </w:r>
      <w:r>
        <w:t xml:space="preserve">  </w:t>
      </w:r>
    </w:p>
  </w:footnote>
  <w:footnote w:id="2">
    <w:p w14:paraId="2AAF8ECA" w14:textId="77777777" w:rsidR="00E4147A" w:rsidRPr="00702A4A" w:rsidRDefault="00E4147A" w:rsidP="00702A4A">
      <w:pPr>
        <w:pStyle w:val="FootnoteText"/>
        <w:ind w:left="360" w:hanging="360"/>
        <w:rPr>
          <w:rFonts w:asciiTheme="majorHAnsi" w:hAnsiTheme="majorHAnsi"/>
        </w:rPr>
      </w:pPr>
      <w:r w:rsidRPr="00702A4A">
        <w:rPr>
          <w:rStyle w:val="FootnoteReference"/>
          <w:rFonts w:asciiTheme="majorHAnsi" w:hAnsiTheme="majorHAnsi"/>
          <w:sz w:val="16"/>
        </w:rPr>
        <w:footnoteRef/>
      </w:r>
      <w:r w:rsidRPr="00702A4A">
        <w:rPr>
          <w:rFonts w:asciiTheme="majorHAnsi" w:hAnsiTheme="majorHAnsi"/>
          <w:sz w:val="16"/>
        </w:rPr>
        <w:t xml:space="preserve"> The CCCC is the Conference on College Composition and Communication. This position statement is but one of many statements on NTTF by professional and disciplinary associations. It was selected because of its currency and its reference to CSU model practices. It was approved by the Executive Committee of the 4C’s organization and was released in May of 2016. It can be seen </w:t>
      </w:r>
      <w:hyperlink r:id="rId1" w:history="1">
        <w:r w:rsidRPr="00702A4A">
          <w:rPr>
            <w:rStyle w:val="Hyperlink"/>
            <w:rFonts w:asciiTheme="majorHAnsi" w:hAnsiTheme="majorHAnsi"/>
            <w:sz w:val="16"/>
          </w:rPr>
          <w:t>posted at CCCC</w:t>
        </w:r>
      </w:hyperlink>
      <w:r w:rsidRPr="00702A4A">
        <w:rPr>
          <w:rFonts w:asciiTheme="majorHAnsi" w:hAnsiTheme="majorHAnsi"/>
          <w:sz w:val="16"/>
        </w:rPr>
        <w:t>. </w:t>
      </w:r>
    </w:p>
  </w:footnote>
  <w:footnote w:id="3">
    <w:p w14:paraId="2C05B500" w14:textId="77777777" w:rsidR="00E4147A" w:rsidRPr="00926D5A" w:rsidRDefault="00E4147A" w:rsidP="005D3DF7">
      <w:pPr>
        <w:ind w:left="720" w:hanging="360"/>
        <w:rPr>
          <w:rFonts w:asciiTheme="majorHAnsi" w:hAnsiTheme="majorHAnsi"/>
          <w:sz w:val="16"/>
          <w:szCs w:val="16"/>
        </w:rPr>
      </w:pPr>
      <w:r w:rsidRPr="00926D5A">
        <w:rPr>
          <w:rFonts w:asciiTheme="majorHAnsi" w:hAnsiTheme="majorHAnsi"/>
          <w:sz w:val="16"/>
          <w:szCs w:val="16"/>
          <w:vertAlign w:val="superscript"/>
        </w:rPr>
        <w:footnoteRef/>
      </w:r>
      <w:r w:rsidRPr="00926D5A">
        <w:rPr>
          <w:rFonts w:asciiTheme="majorHAnsi" w:hAnsiTheme="majorHAnsi"/>
          <w:sz w:val="16"/>
          <w:szCs w:val="16"/>
        </w:rPr>
        <w:t xml:space="preserve"> American Association of University Professors. “Contingent Appointments and the Academic Profession.” 2003. (sec. “Academic Freedom”) &lt;http://www.aaup.org/AAUP/pubsres/policydocs/contents/conting-stmt.htm&gt;.</w:t>
      </w:r>
    </w:p>
  </w:footnote>
  <w:footnote w:id="4">
    <w:p w14:paraId="71FD7DC4" w14:textId="77777777" w:rsidR="00E4147A" w:rsidRPr="00926D5A" w:rsidRDefault="00E4147A" w:rsidP="005D3DF7">
      <w:pPr>
        <w:ind w:left="720" w:hanging="360"/>
        <w:rPr>
          <w:rFonts w:asciiTheme="majorHAnsi" w:hAnsiTheme="majorHAnsi"/>
          <w:sz w:val="16"/>
          <w:szCs w:val="16"/>
        </w:rPr>
      </w:pPr>
      <w:r w:rsidRPr="00926D5A">
        <w:rPr>
          <w:rFonts w:asciiTheme="majorHAnsi" w:hAnsiTheme="majorHAnsi"/>
          <w:sz w:val="16"/>
          <w:szCs w:val="16"/>
          <w:vertAlign w:val="superscript"/>
        </w:rPr>
        <w:footnoteRef/>
      </w:r>
      <w:r w:rsidRPr="00926D5A">
        <w:rPr>
          <w:rFonts w:asciiTheme="majorHAnsi" w:hAnsiTheme="majorHAnsi"/>
          <w:sz w:val="16"/>
          <w:szCs w:val="16"/>
        </w:rPr>
        <w:t xml:space="preserve"> American Association of University Professors, "Contingent Faculty Index 2006, Appendix B" &lt;http://www.aaup.org/AAUP/pubsres/research/conind2006.htm?wbc_purpose=Basic&amp;WBCMODE=PresentationUnpublished?PF=1&gt;.</w:t>
      </w:r>
    </w:p>
  </w:footnote>
  <w:footnote w:id="5">
    <w:p w14:paraId="24CEADF5" w14:textId="77777777" w:rsidR="00E4147A" w:rsidRPr="00926D5A" w:rsidRDefault="00E4147A" w:rsidP="005D3DF7">
      <w:pPr>
        <w:pStyle w:val="Heading3"/>
        <w:spacing w:before="0" w:after="0"/>
        <w:ind w:left="720" w:hanging="360"/>
        <w:rPr>
          <w:sz w:val="16"/>
          <w:szCs w:val="16"/>
        </w:rPr>
      </w:pPr>
      <w:r w:rsidRPr="00926D5A">
        <w:rPr>
          <w:sz w:val="16"/>
          <w:szCs w:val="16"/>
          <w:vertAlign w:val="superscript"/>
        </w:rPr>
        <w:footnoteRef/>
      </w:r>
      <w:r w:rsidRPr="00926D5A">
        <w:rPr>
          <w:sz w:val="16"/>
          <w:szCs w:val="16"/>
        </w:rPr>
        <w:t xml:space="preserve"> Berny Morson. “Adjunct College Faculty Growing in State, Nation.” </w:t>
      </w:r>
      <w:r w:rsidRPr="00926D5A">
        <w:rPr>
          <w:i/>
          <w:sz w:val="16"/>
          <w:szCs w:val="16"/>
        </w:rPr>
        <w:t>Rocky Mountain News</w:t>
      </w:r>
      <w:r w:rsidRPr="00926D5A">
        <w:rPr>
          <w:sz w:val="16"/>
          <w:szCs w:val="16"/>
        </w:rPr>
        <w:t xml:space="preserve"> </w:t>
      </w:r>
    </w:p>
    <w:p w14:paraId="27F45D42" w14:textId="77777777" w:rsidR="00E4147A" w:rsidRDefault="00E4147A" w:rsidP="005D3DF7">
      <w:pPr>
        <w:ind w:left="720" w:hanging="360"/>
      </w:pPr>
      <w:r w:rsidRPr="00926D5A">
        <w:rPr>
          <w:rFonts w:asciiTheme="majorHAnsi" w:hAnsiTheme="majorHAnsi"/>
          <w:sz w:val="16"/>
          <w:szCs w:val="16"/>
        </w:rPr>
        <w:t>22 Jan. 2007. &lt;http://m.rockymountainnews.com/news/2007/Jan/22/adjunct-college-faculty-growing-in-state-nation/&gt;.</w:t>
      </w:r>
    </w:p>
    <w:bookmarkStart w:id="53" w:name="h.2u6wntf" w:colFirst="0" w:colLast="0"/>
    <w:bookmarkEnd w:id="53"/>
  </w:footnote>
  <w:footnote w:id="6">
    <w:p w14:paraId="64AA6ADE" w14:textId="77777777" w:rsidR="00E4147A" w:rsidRPr="005D4467" w:rsidRDefault="00E4147A" w:rsidP="005D3DF7">
      <w:pPr>
        <w:ind w:left="720" w:hanging="360"/>
        <w:rPr>
          <w:rFonts w:asciiTheme="majorHAnsi" w:hAnsiTheme="majorHAnsi"/>
          <w:sz w:val="16"/>
          <w:szCs w:val="16"/>
        </w:rPr>
      </w:pPr>
      <w:bookmarkStart w:id="54" w:name="h.2u6wntf" w:colFirst="0" w:colLast="0"/>
      <w:bookmarkEnd w:id="54"/>
      <w:r w:rsidRPr="005D4467">
        <w:rPr>
          <w:rFonts w:asciiTheme="majorHAnsi" w:hAnsiTheme="majorHAnsi"/>
          <w:sz w:val="16"/>
          <w:szCs w:val="16"/>
          <w:vertAlign w:val="superscript"/>
        </w:rPr>
        <w:footnoteRef/>
      </w:r>
      <w:r w:rsidRPr="005D4467">
        <w:rPr>
          <w:rFonts w:asciiTheme="majorHAnsi" w:hAnsiTheme="majorHAnsi"/>
          <w:sz w:val="16"/>
          <w:szCs w:val="16"/>
        </w:rPr>
        <w:t xml:space="preserve"> “As recommended by the task force, where someone has been a lecturer at 50% or more for three years, the unit should consider whether the position should be redefined as a rostered instructor; again, if a long-term relationship between the individual and the campus is desirable, a rostered instructorship should be created; where the position is temporary and contingent, lecturers should be employed.” (December 9, 2008). &lt;</w:t>
      </w:r>
      <w:hyperlink r:id="rId2">
        <w:r w:rsidRPr="005D4467">
          <w:rPr>
            <w:rFonts w:asciiTheme="majorHAnsi" w:hAnsiTheme="majorHAnsi"/>
            <w:color w:val="6B9F25"/>
            <w:sz w:val="16"/>
            <w:szCs w:val="16"/>
            <w:u w:val="single"/>
          </w:rPr>
          <w:t>http://www.colorado.edu/facultyaffairs/atoz/AA_instructor_response.pdf</w:t>
        </w:r>
      </w:hyperlink>
      <w:r w:rsidRPr="005D4467">
        <w:rPr>
          <w:rFonts w:asciiTheme="majorHAnsi" w:hAnsiTheme="majorHAnsi"/>
          <w:sz w:val="16"/>
          <w:szCs w:val="16"/>
        </w:rPr>
        <w:t>&gt;.</w:t>
      </w:r>
    </w:p>
  </w:footnote>
  <w:footnote w:id="7">
    <w:p w14:paraId="78D2A1D5" w14:textId="77777777" w:rsidR="00E4147A" w:rsidRPr="005D4467" w:rsidRDefault="00E4147A" w:rsidP="005D3DF7">
      <w:pPr>
        <w:pStyle w:val="Heading1"/>
        <w:spacing w:before="0" w:after="0"/>
        <w:ind w:left="720" w:hanging="360"/>
        <w:rPr>
          <w:rFonts w:asciiTheme="majorHAnsi" w:hAnsiTheme="majorHAnsi"/>
          <w:sz w:val="16"/>
          <w:szCs w:val="16"/>
        </w:rPr>
      </w:pPr>
      <w:r w:rsidRPr="005D4467">
        <w:rPr>
          <w:rFonts w:asciiTheme="majorHAnsi" w:hAnsiTheme="majorHAnsi"/>
          <w:sz w:val="16"/>
          <w:szCs w:val="16"/>
          <w:vertAlign w:val="superscript"/>
        </w:rPr>
        <w:footnoteRef/>
      </w:r>
      <w:r w:rsidRPr="005D4467">
        <w:rPr>
          <w:rFonts w:asciiTheme="majorHAnsi" w:hAnsiTheme="majorHAnsi"/>
          <w:b w:val="0"/>
          <w:sz w:val="16"/>
          <w:szCs w:val="16"/>
        </w:rPr>
        <w:t xml:space="preserve"> “Lecturers who have taught at 50% or more for at least three consecutive years may be considered by their unit for promotion to instructor.” (Boulder Campus Guidelines for the Appointment, Evaluation, and Promotion of Lecturer and Instructor Rank Faculty.)  (Instructor Bill of Rights, adopted by Dean’s Council, March 9, 1999). &lt;http://www.colorado.edu/FacultyGovernance/policies/instbofr.html&gt;.</w:t>
      </w:r>
    </w:p>
  </w:footnote>
  <w:footnote w:id="8">
    <w:p w14:paraId="43976AC1" w14:textId="77777777" w:rsidR="00E4147A" w:rsidRPr="005D4467" w:rsidRDefault="00E4147A" w:rsidP="005D3DF7">
      <w:pPr>
        <w:ind w:left="720" w:hanging="360"/>
        <w:rPr>
          <w:rFonts w:asciiTheme="majorHAnsi" w:hAnsiTheme="majorHAnsi"/>
          <w:sz w:val="16"/>
          <w:szCs w:val="16"/>
        </w:rPr>
      </w:pPr>
      <w:r w:rsidRPr="005D4467">
        <w:rPr>
          <w:rFonts w:asciiTheme="majorHAnsi" w:hAnsiTheme="majorHAnsi"/>
          <w:sz w:val="16"/>
          <w:szCs w:val="16"/>
          <w:vertAlign w:val="superscript"/>
        </w:rPr>
        <w:footnoteRef/>
      </w:r>
      <w:r w:rsidRPr="005D4467">
        <w:rPr>
          <w:rFonts w:asciiTheme="majorHAnsi" w:hAnsiTheme="majorHAnsi"/>
          <w:sz w:val="16"/>
          <w:szCs w:val="16"/>
        </w:rPr>
        <w:t xml:space="preserve"> American Association of University Professors. “Recommended Institutional Regulations on Academic Freedom and Tenure.” &lt;http://www.aaup.org/AAUP/pubsres/policydocs/contents/RIR.htm&gt;.</w:t>
      </w:r>
    </w:p>
    <w:p w14:paraId="22E74A0D" w14:textId="77777777" w:rsidR="00E4147A" w:rsidRDefault="00E4147A" w:rsidP="005D3D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D18B" w14:textId="06C32E55" w:rsidR="00E4147A" w:rsidRPr="00772E84" w:rsidRDefault="00E4147A" w:rsidP="00772E84">
    <w:pPr>
      <w:tabs>
        <w:tab w:val="center" w:pos="4680"/>
        <w:tab w:val="right" w:pos="9360"/>
      </w:tabs>
      <w:ind w:firstLine="0"/>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FE2"/>
    <w:multiLevelType w:val="multilevel"/>
    <w:tmpl w:val="735298F4"/>
    <w:lvl w:ilvl="0">
      <w:start w:val="1"/>
      <w:numFmt w:val="bullet"/>
      <w:lvlText w:val="●"/>
      <w:lvlJc w:val="left"/>
      <w:pPr>
        <w:ind w:left="1440" w:firstLine="5400"/>
      </w:pPr>
      <w:rPr>
        <w:rFonts w:ascii="Arial" w:eastAsia="Arial" w:hAnsi="Arial" w:cs="Arial"/>
      </w:rPr>
    </w:lvl>
    <w:lvl w:ilvl="1">
      <w:start w:val="1"/>
      <w:numFmt w:val="bullet"/>
      <w:lvlText w:val="o"/>
      <w:lvlJc w:val="left"/>
      <w:pPr>
        <w:ind w:left="2160" w:firstLine="8280"/>
      </w:pPr>
      <w:rPr>
        <w:rFonts w:ascii="Arial" w:eastAsia="Arial" w:hAnsi="Arial" w:cs="Arial"/>
      </w:rPr>
    </w:lvl>
    <w:lvl w:ilvl="2">
      <w:start w:val="1"/>
      <w:numFmt w:val="bullet"/>
      <w:lvlText w:val="▪"/>
      <w:lvlJc w:val="left"/>
      <w:pPr>
        <w:ind w:left="2880" w:firstLine="11160"/>
      </w:pPr>
      <w:rPr>
        <w:rFonts w:ascii="Arial" w:eastAsia="Arial" w:hAnsi="Arial" w:cs="Arial"/>
      </w:rPr>
    </w:lvl>
    <w:lvl w:ilvl="3">
      <w:start w:val="1"/>
      <w:numFmt w:val="bullet"/>
      <w:lvlText w:val="●"/>
      <w:lvlJc w:val="left"/>
      <w:pPr>
        <w:ind w:left="3600" w:firstLine="14040"/>
      </w:pPr>
      <w:rPr>
        <w:rFonts w:ascii="Arial" w:eastAsia="Arial" w:hAnsi="Arial" w:cs="Arial"/>
      </w:rPr>
    </w:lvl>
    <w:lvl w:ilvl="4">
      <w:start w:val="1"/>
      <w:numFmt w:val="bullet"/>
      <w:lvlText w:val="o"/>
      <w:lvlJc w:val="left"/>
      <w:pPr>
        <w:ind w:left="4320" w:firstLine="16920"/>
      </w:pPr>
      <w:rPr>
        <w:rFonts w:ascii="Arial" w:eastAsia="Arial" w:hAnsi="Arial" w:cs="Arial"/>
      </w:rPr>
    </w:lvl>
    <w:lvl w:ilvl="5">
      <w:start w:val="1"/>
      <w:numFmt w:val="bullet"/>
      <w:lvlText w:val="▪"/>
      <w:lvlJc w:val="left"/>
      <w:pPr>
        <w:ind w:left="5040" w:firstLine="19800"/>
      </w:pPr>
      <w:rPr>
        <w:rFonts w:ascii="Arial" w:eastAsia="Arial" w:hAnsi="Arial" w:cs="Arial"/>
      </w:rPr>
    </w:lvl>
    <w:lvl w:ilvl="6">
      <w:start w:val="1"/>
      <w:numFmt w:val="bullet"/>
      <w:lvlText w:val="●"/>
      <w:lvlJc w:val="left"/>
      <w:pPr>
        <w:ind w:left="5760" w:firstLine="22680"/>
      </w:pPr>
      <w:rPr>
        <w:rFonts w:ascii="Arial" w:eastAsia="Arial" w:hAnsi="Arial" w:cs="Arial"/>
      </w:rPr>
    </w:lvl>
    <w:lvl w:ilvl="7">
      <w:start w:val="1"/>
      <w:numFmt w:val="bullet"/>
      <w:lvlText w:val="o"/>
      <w:lvlJc w:val="left"/>
      <w:pPr>
        <w:ind w:left="6480" w:firstLine="25560"/>
      </w:pPr>
      <w:rPr>
        <w:rFonts w:ascii="Arial" w:eastAsia="Arial" w:hAnsi="Arial" w:cs="Arial"/>
      </w:rPr>
    </w:lvl>
    <w:lvl w:ilvl="8">
      <w:start w:val="1"/>
      <w:numFmt w:val="bullet"/>
      <w:lvlText w:val="▪"/>
      <w:lvlJc w:val="left"/>
      <w:pPr>
        <w:ind w:left="7200" w:firstLine="28440"/>
      </w:pPr>
      <w:rPr>
        <w:rFonts w:ascii="Arial" w:eastAsia="Arial" w:hAnsi="Arial" w:cs="Arial"/>
      </w:rPr>
    </w:lvl>
  </w:abstractNum>
  <w:abstractNum w:abstractNumId="1" w15:restartNumberingAfterBreak="0">
    <w:nsid w:val="05430A0C"/>
    <w:multiLevelType w:val="multilevel"/>
    <w:tmpl w:val="4E58DDDA"/>
    <w:lvl w:ilvl="0">
      <w:start w:val="1"/>
      <w:numFmt w:val="decimal"/>
      <w:lvlText w:val="%1."/>
      <w:lvlJc w:val="left"/>
      <w:pPr>
        <w:ind w:left="360" w:firstLine="2160"/>
      </w:pPr>
    </w:lvl>
    <w:lvl w:ilvl="1">
      <w:start w:val="1"/>
      <w:numFmt w:val="lowerLetter"/>
      <w:lvlText w:val="%2."/>
      <w:lvlJc w:val="left"/>
      <w:pPr>
        <w:ind w:left="1080" w:firstLine="7200"/>
      </w:pPr>
    </w:lvl>
    <w:lvl w:ilvl="2">
      <w:start w:val="1"/>
      <w:numFmt w:val="lowerRoman"/>
      <w:lvlText w:val="%3."/>
      <w:lvlJc w:val="right"/>
      <w:pPr>
        <w:ind w:left="1800" w:firstLine="12420"/>
      </w:pPr>
    </w:lvl>
    <w:lvl w:ilvl="3">
      <w:start w:val="1"/>
      <w:numFmt w:val="decimal"/>
      <w:lvlText w:val="%4."/>
      <w:lvlJc w:val="left"/>
      <w:pPr>
        <w:ind w:left="2520" w:firstLine="17280"/>
      </w:pPr>
    </w:lvl>
    <w:lvl w:ilvl="4">
      <w:start w:val="1"/>
      <w:numFmt w:val="lowerLetter"/>
      <w:lvlText w:val="%5."/>
      <w:lvlJc w:val="left"/>
      <w:pPr>
        <w:ind w:left="3240" w:firstLine="22320"/>
      </w:pPr>
    </w:lvl>
    <w:lvl w:ilvl="5">
      <w:start w:val="1"/>
      <w:numFmt w:val="lowerRoman"/>
      <w:lvlText w:val="%6."/>
      <w:lvlJc w:val="right"/>
      <w:pPr>
        <w:ind w:left="3960" w:firstLine="27540"/>
      </w:pPr>
    </w:lvl>
    <w:lvl w:ilvl="6">
      <w:start w:val="1"/>
      <w:numFmt w:val="decimal"/>
      <w:lvlText w:val="%7."/>
      <w:lvlJc w:val="left"/>
      <w:pPr>
        <w:ind w:left="4680" w:firstLine="32400"/>
      </w:pPr>
    </w:lvl>
    <w:lvl w:ilvl="7">
      <w:start w:val="1"/>
      <w:numFmt w:val="lowerLetter"/>
      <w:lvlText w:val="%8."/>
      <w:lvlJc w:val="left"/>
      <w:pPr>
        <w:ind w:left="5400" w:hanging="28096"/>
      </w:pPr>
    </w:lvl>
    <w:lvl w:ilvl="8">
      <w:start w:val="1"/>
      <w:numFmt w:val="lowerRoman"/>
      <w:lvlText w:val="%9."/>
      <w:lvlJc w:val="right"/>
      <w:pPr>
        <w:ind w:left="6120" w:hanging="22876"/>
      </w:pPr>
    </w:lvl>
  </w:abstractNum>
  <w:abstractNum w:abstractNumId="2" w15:restartNumberingAfterBreak="0">
    <w:nsid w:val="06D00B56"/>
    <w:multiLevelType w:val="multilevel"/>
    <w:tmpl w:val="06FC764E"/>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840"/>
      </w:pPr>
      <w:rPr>
        <w:rFonts w:ascii="Arial" w:eastAsia="Arial" w:hAnsi="Arial" w:cs="Arial"/>
      </w:rPr>
    </w:lvl>
    <w:lvl w:ilvl="3">
      <w:start w:val="1"/>
      <w:numFmt w:val="bullet"/>
      <w:lvlText w:val="●"/>
      <w:lvlJc w:val="left"/>
      <w:pPr>
        <w:ind w:left="2520" w:firstLine="9720"/>
      </w:pPr>
      <w:rPr>
        <w:rFonts w:ascii="Arial" w:eastAsia="Arial" w:hAnsi="Arial" w:cs="Arial"/>
      </w:r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3" w15:restartNumberingAfterBreak="0">
    <w:nsid w:val="072A08C3"/>
    <w:multiLevelType w:val="hybridMultilevel"/>
    <w:tmpl w:val="9E944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6E19E0"/>
    <w:multiLevelType w:val="multilevel"/>
    <w:tmpl w:val="962CB5A0"/>
    <w:lvl w:ilvl="0">
      <w:start w:val="1"/>
      <w:numFmt w:val="bullet"/>
      <w:lvlText w:val="●"/>
      <w:lvlJc w:val="left"/>
      <w:pPr>
        <w:ind w:left="720" w:firstLine="4680"/>
      </w:pPr>
      <w:rPr>
        <w:rFonts w:ascii="Arial" w:eastAsia="Arial" w:hAnsi="Arial" w:cs="Arial"/>
      </w:rPr>
    </w:lvl>
    <w:lvl w:ilvl="1">
      <w:start w:val="1"/>
      <w:numFmt w:val="bullet"/>
      <w:lvlText w:val="o"/>
      <w:lvlJc w:val="left"/>
      <w:pPr>
        <w:ind w:left="1440" w:firstLine="9720"/>
      </w:pPr>
      <w:rPr>
        <w:rFonts w:ascii="Arial" w:eastAsia="Arial" w:hAnsi="Arial" w:cs="Arial"/>
      </w:rPr>
    </w:lvl>
    <w:lvl w:ilvl="2">
      <w:start w:val="1"/>
      <w:numFmt w:val="bullet"/>
      <w:lvlText w:val="▪"/>
      <w:lvlJc w:val="left"/>
      <w:pPr>
        <w:ind w:left="2160" w:firstLine="14760"/>
      </w:pPr>
      <w:rPr>
        <w:rFonts w:ascii="Arial" w:eastAsia="Arial" w:hAnsi="Arial" w:cs="Arial"/>
      </w:rPr>
    </w:lvl>
    <w:lvl w:ilvl="3">
      <w:start w:val="1"/>
      <w:numFmt w:val="bullet"/>
      <w:lvlText w:val="●"/>
      <w:lvlJc w:val="left"/>
      <w:pPr>
        <w:ind w:left="2880" w:firstLine="19800"/>
      </w:pPr>
      <w:rPr>
        <w:rFonts w:ascii="Arial" w:eastAsia="Arial" w:hAnsi="Arial" w:cs="Arial"/>
      </w:rPr>
    </w:lvl>
    <w:lvl w:ilvl="4">
      <w:start w:val="1"/>
      <w:numFmt w:val="bullet"/>
      <w:lvlText w:val="o"/>
      <w:lvlJc w:val="left"/>
      <w:pPr>
        <w:ind w:left="3600" w:firstLine="24840"/>
      </w:pPr>
      <w:rPr>
        <w:rFonts w:ascii="Arial" w:eastAsia="Arial" w:hAnsi="Arial" w:cs="Arial"/>
      </w:rPr>
    </w:lvl>
    <w:lvl w:ilvl="5">
      <w:start w:val="1"/>
      <w:numFmt w:val="bullet"/>
      <w:lvlText w:val="▪"/>
      <w:lvlJc w:val="left"/>
      <w:pPr>
        <w:ind w:left="4320" w:firstLine="29880"/>
      </w:pPr>
      <w:rPr>
        <w:rFonts w:ascii="Arial" w:eastAsia="Arial" w:hAnsi="Arial" w:cs="Arial"/>
      </w:rPr>
    </w:lvl>
    <w:lvl w:ilvl="6">
      <w:start w:val="1"/>
      <w:numFmt w:val="bullet"/>
      <w:lvlText w:val="●"/>
      <w:lvlJc w:val="left"/>
      <w:pPr>
        <w:ind w:left="5040" w:hanging="30616"/>
      </w:pPr>
      <w:rPr>
        <w:rFonts w:ascii="Arial" w:eastAsia="Arial" w:hAnsi="Arial" w:cs="Arial"/>
      </w:rPr>
    </w:lvl>
    <w:lvl w:ilvl="7">
      <w:start w:val="1"/>
      <w:numFmt w:val="bullet"/>
      <w:lvlText w:val="o"/>
      <w:lvlJc w:val="left"/>
      <w:pPr>
        <w:ind w:left="5760" w:hanging="25576"/>
      </w:pPr>
      <w:rPr>
        <w:rFonts w:ascii="Arial" w:eastAsia="Arial" w:hAnsi="Arial" w:cs="Arial"/>
      </w:rPr>
    </w:lvl>
    <w:lvl w:ilvl="8">
      <w:start w:val="1"/>
      <w:numFmt w:val="bullet"/>
      <w:lvlText w:val="▪"/>
      <w:lvlJc w:val="left"/>
      <w:pPr>
        <w:ind w:left="6480" w:hanging="20536"/>
      </w:pPr>
      <w:rPr>
        <w:rFonts w:ascii="Arial" w:eastAsia="Arial" w:hAnsi="Arial" w:cs="Arial"/>
      </w:rPr>
    </w:lvl>
  </w:abstractNum>
  <w:abstractNum w:abstractNumId="5" w15:restartNumberingAfterBreak="0">
    <w:nsid w:val="0E2608F3"/>
    <w:multiLevelType w:val="multilevel"/>
    <w:tmpl w:val="E0D86CCE"/>
    <w:lvl w:ilvl="0">
      <w:start w:val="1"/>
      <w:numFmt w:val="bullet"/>
      <w:lvlText w:val="●"/>
      <w:lvlJc w:val="left"/>
      <w:pPr>
        <w:ind w:left="1440" w:firstLine="4680"/>
      </w:pPr>
      <w:rPr>
        <w:rFonts w:ascii="Arial" w:eastAsia="Arial" w:hAnsi="Arial" w:cs="Arial"/>
      </w:rPr>
    </w:lvl>
    <w:lvl w:ilvl="1">
      <w:start w:val="1"/>
      <w:numFmt w:val="bullet"/>
      <w:lvlText w:val="o"/>
      <w:lvlJc w:val="left"/>
      <w:pPr>
        <w:ind w:left="2160" w:firstLine="9720"/>
      </w:pPr>
      <w:rPr>
        <w:rFonts w:ascii="Arial" w:eastAsia="Arial" w:hAnsi="Arial" w:cs="Arial"/>
      </w:rPr>
    </w:lvl>
    <w:lvl w:ilvl="2">
      <w:start w:val="1"/>
      <w:numFmt w:val="bullet"/>
      <w:lvlText w:val="▪"/>
      <w:lvlJc w:val="left"/>
      <w:pPr>
        <w:ind w:left="2880" w:firstLine="14760"/>
      </w:pPr>
      <w:rPr>
        <w:rFonts w:ascii="Arial" w:eastAsia="Arial" w:hAnsi="Arial" w:cs="Arial"/>
      </w:rPr>
    </w:lvl>
    <w:lvl w:ilvl="3">
      <w:start w:val="1"/>
      <w:numFmt w:val="bullet"/>
      <w:lvlText w:val="●"/>
      <w:lvlJc w:val="left"/>
      <w:pPr>
        <w:ind w:left="3600" w:firstLine="19800"/>
      </w:pPr>
      <w:rPr>
        <w:rFonts w:ascii="Arial" w:eastAsia="Arial" w:hAnsi="Arial" w:cs="Arial"/>
      </w:rPr>
    </w:lvl>
    <w:lvl w:ilvl="4">
      <w:start w:val="1"/>
      <w:numFmt w:val="bullet"/>
      <w:lvlText w:val="o"/>
      <w:lvlJc w:val="left"/>
      <w:pPr>
        <w:ind w:left="4320" w:firstLine="24840"/>
      </w:pPr>
      <w:rPr>
        <w:rFonts w:ascii="Arial" w:eastAsia="Arial" w:hAnsi="Arial" w:cs="Arial"/>
      </w:rPr>
    </w:lvl>
    <w:lvl w:ilvl="5">
      <w:start w:val="1"/>
      <w:numFmt w:val="bullet"/>
      <w:lvlText w:val="▪"/>
      <w:lvlJc w:val="left"/>
      <w:pPr>
        <w:ind w:left="5040" w:firstLine="29880"/>
      </w:pPr>
      <w:rPr>
        <w:rFonts w:ascii="Arial" w:eastAsia="Arial" w:hAnsi="Arial" w:cs="Arial"/>
      </w:rPr>
    </w:lvl>
    <w:lvl w:ilvl="6">
      <w:start w:val="1"/>
      <w:numFmt w:val="bullet"/>
      <w:lvlText w:val="●"/>
      <w:lvlJc w:val="left"/>
      <w:pPr>
        <w:ind w:left="5760" w:hanging="30616"/>
      </w:pPr>
      <w:rPr>
        <w:rFonts w:ascii="Arial" w:eastAsia="Arial" w:hAnsi="Arial" w:cs="Arial"/>
      </w:rPr>
    </w:lvl>
    <w:lvl w:ilvl="7">
      <w:start w:val="1"/>
      <w:numFmt w:val="bullet"/>
      <w:lvlText w:val="o"/>
      <w:lvlJc w:val="left"/>
      <w:pPr>
        <w:ind w:left="6480" w:hanging="25576"/>
      </w:pPr>
      <w:rPr>
        <w:rFonts w:ascii="Arial" w:eastAsia="Arial" w:hAnsi="Arial" w:cs="Arial"/>
      </w:rPr>
    </w:lvl>
    <w:lvl w:ilvl="8">
      <w:start w:val="1"/>
      <w:numFmt w:val="bullet"/>
      <w:lvlText w:val="▪"/>
      <w:lvlJc w:val="left"/>
      <w:pPr>
        <w:ind w:left="7200" w:hanging="20536"/>
      </w:pPr>
      <w:rPr>
        <w:rFonts w:ascii="Arial" w:eastAsia="Arial" w:hAnsi="Arial" w:cs="Arial"/>
      </w:rPr>
    </w:lvl>
  </w:abstractNum>
  <w:abstractNum w:abstractNumId="6" w15:restartNumberingAfterBreak="0">
    <w:nsid w:val="0E545B29"/>
    <w:multiLevelType w:val="multilevel"/>
    <w:tmpl w:val="E158B320"/>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7" w15:restartNumberingAfterBreak="0">
    <w:nsid w:val="12D05FFB"/>
    <w:multiLevelType w:val="multilevel"/>
    <w:tmpl w:val="C85037B0"/>
    <w:lvl w:ilvl="0">
      <w:start w:val="1"/>
      <w:numFmt w:val="bullet"/>
      <w:lvlText w:val="●"/>
      <w:lvlJc w:val="left"/>
      <w:pPr>
        <w:ind w:left="1080" w:firstLine="3600"/>
      </w:pPr>
      <w:rPr>
        <w:rFonts w:ascii="Arial" w:eastAsia="Arial" w:hAnsi="Arial" w:cs="Arial"/>
      </w:rPr>
    </w:lvl>
    <w:lvl w:ilvl="1">
      <w:start w:val="1"/>
      <w:numFmt w:val="bullet"/>
      <w:lvlText w:val="o"/>
      <w:lvlJc w:val="left"/>
      <w:pPr>
        <w:ind w:left="1800" w:firstLine="6480"/>
      </w:pPr>
      <w:rPr>
        <w:rFonts w:ascii="Arial" w:eastAsia="Arial" w:hAnsi="Arial" w:cs="Arial"/>
      </w:rPr>
    </w:lvl>
    <w:lvl w:ilvl="2">
      <w:start w:val="1"/>
      <w:numFmt w:val="bullet"/>
      <w:lvlText w:val="▪"/>
      <w:lvlJc w:val="left"/>
      <w:pPr>
        <w:ind w:left="2520" w:firstLine="9360"/>
      </w:pPr>
      <w:rPr>
        <w:rFonts w:ascii="Arial" w:eastAsia="Arial" w:hAnsi="Arial" w:cs="Arial"/>
      </w:rPr>
    </w:lvl>
    <w:lvl w:ilvl="3">
      <w:start w:val="1"/>
      <w:numFmt w:val="bullet"/>
      <w:lvlText w:val="●"/>
      <w:lvlJc w:val="left"/>
      <w:pPr>
        <w:ind w:left="3240" w:firstLine="12240"/>
      </w:pPr>
      <w:rPr>
        <w:rFonts w:ascii="Arial" w:eastAsia="Arial" w:hAnsi="Arial" w:cs="Arial"/>
      </w:rPr>
    </w:lvl>
    <w:lvl w:ilvl="4">
      <w:start w:val="1"/>
      <w:numFmt w:val="bullet"/>
      <w:lvlText w:val="o"/>
      <w:lvlJc w:val="left"/>
      <w:pPr>
        <w:ind w:left="3960" w:firstLine="15120"/>
      </w:pPr>
      <w:rPr>
        <w:rFonts w:ascii="Arial" w:eastAsia="Arial" w:hAnsi="Arial" w:cs="Arial"/>
      </w:rPr>
    </w:lvl>
    <w:lvl w:ilvl="5">
      <w:start w:val="1"/>
      <w:numFmt w:val="bullet"/>
      <w:lvlText w:val="▪"/>
      <w:lvlJc w:val="left"/>
      <w:pPr>
        <w:ind w:left="4680" w:firstLine="18000"/>
      </w:pPr>
      <w:rPr>
        <w:rFonts w:ascii="Arial" w:eastAsia="Arial" w:hAnsi="Arial" w:cs="Arial"/>
      </w:rPr>
    </w:lvl>
    <w:lvl w:ilvl="6">
      <w:start w:val="1"/>
      <w:numFmt w:val="bullet"/>
      <w:lvlText w:val="●"/>
      <w:lvlJc w:val="left"/>
      <w:pPr>
        <w:ind w:left="5400" w:firstLine="20880"/>
      </w:pPr>
      <w:rPr>
        <w:rFonts w:ascii="Arial" w:eastAsia="Arial" w:hAnsi="Arial" w:cs="Arial"/>
      </w:rPr>
    </w:lvl>
    <w:lvl w:ilvl="7">
      <w:start w:val="1"/>
      <w:numFmt w:val="bullet"/>
      <w:lvlText w:val="o"/>
      <w:lvlJc w:val="left"/>
      <w:pPr>
        <w:ind w:left="6120" w:firstLine="23760"/>
      </w:pPr>
      <w:rPr>
        <w:rFonts w:ascii="Arial" w:eastAsia="Arial" w:hAnsi="Arial" w:cs="Arial"/>
      </w:rPr>
    </w:lvl>
    <w:lvl w:ilvl="8">
      <w:start w:val="1"/>
      <w:numFmt w:val="bullet"/>
      <w:lvlText w:val="▪"/>
      <w:lvlJc w:val="left"/>
      <w:pPr>
        <w:ind w:left="6840" w:firstLine="26640"/>
      </w:pPr>
      <w:rPr>
        <w:rFonts w:ascii="Arial" w:eastAsia="Arial" w:hAnsi="Arial" w:cs="Arial"/>
      </w:rPr>
    </w:lvl>
  </w:abstractNum>
  <w:abstractNum w:abstractNumId="8" w15:restartNumberingAfterBreak="0">
    <w:nsid w:val="142E67BF"/>
    <w:multiLevelType w:val="multilevel"/>
    <w:tmpl w:val="C70A4016"/>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9" w15:restartNumberingAfterBreak="0">
    <w:nsid w:val="15B8587D"/>
    <w:multiLevelType w:val="multilevel"/>
    <w:tmpl w:val="F28C68F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0" w15:restartNumberingAfterBreak="0">
    <w:nsid w:val="170724E9"/>
    <w:multiLevelType w:val="multilevel"/>
    <w:tmpl w:val="66A43E8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1" w15:restartNumberingAfterBreak="0">
    <w:nsid w:val="17EB37CA"/>
    <w:multiLevelType w:val="multilevel"/>
    <w:tmpl w:val="F0383650"/>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12" w15:restartNumberingAfterBreak="0">
    <w:nsid w:val="17F2474A"/>
    <w:multiLevelType w:val="hybridMultilevel"/>
    <w:tmpl w:val="5C104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83269DE"/>
    <w:multiLevelType w:val="multilevel"/>
    <w:tmpl w:val="7DA6C1DC"/>
    <w:lvl w:ilvl="0">
      <w:start w:val="1"/>
      <w:numFmt w:val="bullet"/>
      <w:lvlText w:val="●"/>
      <w:lvlJc w:val="left"/>
      <w:pPr>
        <w:ind w:left="1440" w:firstLine="8280"/>
      </w:pPr>
      <w:rPr>
        <w:rFonts w:ascii="Arial" w:eastAsia="Arial" w:hAnsi="Arial" w:cs="Arial"/>
        <w:u w:val="none"/>
      </w:rPr>
    </w:lvl>
    <w:lvl w:ilvl="1">
      <w:start w:val="1"/>
      <w:numFmt w:val="bullet"/>
      <w:lvlText w:val="○"/>
      <w:lvlJc w:val="left"/>
      <w:pPr>
        <w:ind w:left="2160" w:firstLine="12600"/>
      </w:pPr>
      <w:rPr>
        <w:rFonts w:ascii="Arial" w:eastAsia="Arial" w:hAnsi="Arial" w:cs="Arial"/>
        <w:u w:val="none"/>
      </w:rPr>
    </w:lvl>
    <w:lvl w:ilvl="2">
      <w:start w:val="1"/>
      <w:numFmt w:val="bullet"/>
      <w:lvlText w:val="■"/>
      <w:lvlJc w:val="left"/>
      <w:pPr>
        <w:ind w:left="2880" w:firstLine="16920"/>
      </w:pPr>
      <w:rPr>
        <w:rFonts w:ascii="Arial" w:eastAsia="Arial" w:hAnsi="Arial" w:cs="Arial"/>
        <w:u w:val="none"/>
      </w:rPr>
    </w:lvl>
    <w:lvl w:ilvl="3">
      <w:start w:val="1"/>
      <w:numFmt w:val="bullet"/>
      <w:lvlText w:val="●"/>
      <w:lvlJc w:val="left"/>
      <w:pPr>
        <w:ind w:left="3600" w:firstLine="21240"/>
      </w:pPr>
      <w:rPr>
        <w:rFonts w:ascii="Arial" w:eastAsia="Arial" w:hAnsi="Arial" w:cs="Arial"/>
        <w:u w:val="none"/>
      </w:rPr>
    </w:lvl>
    <w:lvl w:ilvl="4">
      <w:start w:val="1"/>
      <w:numFmt w:val="bullet"/>
      <w:lvlText w:val="○"/>
      <w:lvlJc w:val="left"/>
      <w:pPr>
        <w:ind w:left="4320" w:firstLine="25560"/>
      </w:pPr>
      <w:rPr>
        <w:rFonts w:ascii="Arial" w:eastAsia="Arial" w:hAnsi="Arial" w:cs="Arial"/>
        <w:u w:val="none"/>
      </w:rPr>
    </w:lvl>
    <w:lvl w:ilvl="5">
      <w:start w:val="1"/>
      <w:numFmt w:val="bullet"/>
      <w:lvlText w:val="■"/>
      <w:lvlJc w:val="left"/>
      <w:pPr>
        <w:ind w:left="5040" w:firstLine="29880"/>
      </w:pPr>
      <w:rPr>
        <w:rFonts w:ascii="Arial" w:eastAsia="Arial" w:hAnsi="Arial" w:cs="Arial"/>
        <w:u w:val="none"/>
      </w:rPr>
    </w:lvl>
    <w:lvl w:ilvl="6">
      <w:start w:val="1"/>
      <w:numFmt w:val="bullet"/>
      <w:lvlText w:val="●"/>
      <w:lvlJc w:val="left"/>
      <w:pPr>
        <w:ind w:left="5760" w:hanging="31336"/>
      </w:pPr>
      <w:rPr>
        <w:rFonts w:ascii="Arial" w:eastAsia="Arial" w:hAnsi="Arial" w:cs="Arial"/>
        <w:u w:val="none"/>
      </w:rPr>
    </w:lvl>
    <w:lvl w:ilvl="7">
      <w:start w:val="1"/>
      <w:numFmt w:val="bullet"/>
      <w:lvlText w:val="○"/>
      <w:lvlJc w:val="left"/>
      <w:pPr>
        <w:ind w:left="6480" w:hanging="27016"/>
      </w:pPr>
      <w:rPr>
        <w:rFonts w:ascii="Arial" w:eastAsia="Arial" w:hAnsi="Arial" w:cs="Arial"/>
        <w:u w:val="none"/>
      </w:rPr>
    </w:lvl>
    <w:lvl w:ilvl="8">
      <w:start w:val="1"/>
      <w:numFmt w:val="bullet"/>
      <w:lvlText w:val="■"/>
      <w:lvlJc w:val="left"/>
      <w:pPr>
        <w:ind w:left="7200" w:hanging="22696"/>
      </w:pPr>
      <w:rPr>
        <w:rFonts w:ascii="Arial" w:eastAsia="Arial" w:hAnsi="Arial" w:cs="Arial"/>
        <w:u w:val="none"/>
      </w:rPr>
    </w:lvl>
  </w:abstractNum>
  <w:abstractNum w:abstractNumId="14" w15:restartNumberingAfterBreak="0">
    <w:nsid w:val="18675E30"/>
    <w:multiLevelType w:val="multilevel"/>
    <w:tmpl w:val="2A5A429E"/>
    <w:lvl w:ilvl="0">
      <w:start w:val="1"/>
      <w:numFmt w:val="bullet"/>
      <w:lvlText w:val="●"/>
      <w:lvlJc w:val="left"/>
      <w:pPr>
        <w:ind w:left="720" w:firstLine="4680"/>
      </w:pPr>
      <w:rPr>
        <w:rFonts w:ascii="Arial" w:eastAsia="Arial" w:hAnsi="Arial" w:cs="Arial"/>
      </w:rPr>
    </w:lvl>
    <w:lvl w:ilvl="1">
      <w:start w:val="1"/>
      <w:numFmt w:val="bullet"/>
      <w:lvlText w:val="o"/>
      <w:lvlJc w:val="left"/>
      <w:pPr>
        <w:ind w:left="1440" w:firstLine="9720"/>
      </w:pPr>
      <w:rPr>
        <w:rFonts w:ascii="Arial" w:eastAsia="Arial" w:hAnsi="Arial" w:cs="Arial"/>
      </w:rPr>
    </w:lvl>
    <w:lvl w:ilvl="2">
      <w:start w:val="1"/>
      <w:numFmt w:val="bullet"/>
      <w:lvlText w:val="▪"/>
      <w:lvlJc w:val="left"/>
      <w:pPr>
        <w:ind w:left="2160" w:firstLine="14760"/>
      </w:pPr>
      <w:rPr>
        <w:rFonts w:ascii="Arial" w:eastAsia="Arial" w:hAnsi="Arial" w:cs="Arial"/>
      </w:rPr>
    </w:lvl>
    <w:lvl w:ilvl="3">
      <w:start w:val="1"/>
      <w:numFmt w:val="bullet"/>
      <w:lvlText w:val="●"/>
      <w:lvlJc w:val="left"/>
      <w:pPr>
        <w:ind w:left="2880" w:firstLine="19800"/>
      </w:pPr>
      <w:rPr>
        <w:rFonts w:ascii="Arial" w:eastAsia="Arial" w:hAnsi="Arial" w:cs="Arial"/>
      </w:rPr>
    </w:lvl>
    <w:lvl w:ilvl="4">
      <w:start w:val="1"/>
      <w:numFmt w:val="bullet"/>
      <w:lvlText w:val="o"/>
      <w:lvlJc w:val="left"/>
      <w:pPr>
        <w:ind w:left="3600" w:firstLine="24840"/>
      </w:pPr>
      <w:rPr>
        <w:rFonts w:ascii="Arial" w:eastAsia="Arial" w:hAnsi="Arial" w:cs="Arial"/>
      </w:rPr>
    </w:lvl>
    <w:lvl w:ilvl="5">
      <w:start w:val="1"/>
      <w:numFmt w:val="bullet"/>
      <w:lvlText w:val="▪"/>
      <w:lvlJc w:val="left"/>
      <w:pPr>
        <w:ind w:left="4320" w:firstLine="29880"/>
      </w:pPr>
      <w:rPr>
        <w:rFonts w:ascii="Arial" w:eastAsia="Arial" w:hAnsi="Arial" w:cs="Arial"/>
      </w:rPr>
    </w:lvl>
    <w:lvl w:ilvl="6">
      <w:start w:val="1"/>
      <w:numFmt w:val="bullet"/>
      <w:lvlText w:val="●"/>
      <w:lvlJc w:val="left"/>
      <w:pPr>
        <w:ind w:left="5040" w:hanging="30616"/>
      </w:pPr>
      <w:rPr>
        <w:rFonts w:ascii="Arial" w:eastAsia="Arial" w:hAnsi="Arial" w:cs="Arial"/>
      </w:rPr>
    </w:lvl>
    <w:lvl w:ilvl="7">
      <w:start w:val="1"/>
      <w:numFmt w:val="bullet"/>
      <w:lvlText w:val="o"/>
      <w:lvlJc w:val="left"/>
      <w:pPr>
        <w:ind w:left="5760" w:hanging="25576"/>
      </w:pPr>
      <w:rPr>
        <w:rFonts w:ascii="Arial" w:eastAsia="Arial" w:hAnsi="Arial" w:cs="Arial"/>
      </w:rPr>
    </w:lvl>
    <w:lvl w:ilvl="8">
      <w:start w:val="1"/>
      <w:numFmt w:val="bullet"/>
      <w:lvlText w:val="▪"/>
      <w:lvlJc w:val="left"/>
      <w:pPr>
        <w:ind w:left="6480" w:hanging="20536"/>
      </w:pPr>
      <w:rPr>
        <w:rFonts w:ascii="Arial" w:eastAsia="Arial" w:hAnsi="Arial" w:cs="Arial"/>
      </w:rPr>
    </w:lvl>
  </w:abstractNum>
  <w:abstractNum w:abstractNumId="15" w15:restartNumberingAfterBreak="0">
    <w:nsid w:val="194A7168"/>
    <w:multiLevelType w:val="multilevel"/>
    <w:tmpl w:val="06B2230A"/>
    <w:lvl w:ilvl="0">
      <w:start w:val="1"/>
      <w:numFmt w:val="bullet"/>
      <w:lvlText w:val="●"/>
      <w:lvlJc w:val="left"/>
      <w:pPr>
        <w:ind w:left="360" w:firstLine="3960"/>
      </w:pPr>
      <w:rPr>
        <w:rFonts w:ascii="Arial" w:eastAsia="Arial" w:hAnsi="Arial" w:cs="Arial"/>
      </w:rPr>
    </w:lvl>
    <w:lvl w:ilvl="1">
      <w:start w:val="1"/>
      <w:numFmt w:val="bullet"/>
      <w:lvlText w:val="o"/>
      <w:lvlJc w:val="left"/>
      <w:pPr>
        <w:ind w:left="1080" w:firstLine="6840"/>
      </w:pPr>
      <w:rPr>
        <w:rFonts w:ascii="Arial" w:eastAsia="Arial" w:hAnsi="Arial" w:cs="Arial"/>
      </w:rPr>
    </w:lvl>
    <w:lvl w:ilvl="2">
      <w:start w:val="1"/>
      <w:numFmt w:val="bullet"/>
      <w:lvlText w:val="▪"/>
      <w:lvlJc w:val="left"/>
      <w:pPr>
        <w:ind w:left="1800" w:firstLine="9720"/>
      </w:pPr>
      <w:rPr>
        <w:rFonts w:ascii="Arial" w:eastAsia="Arial" w:hAnsi="Arial" w:cs="Arial"/>
      </w:rPr>
    </w:lvl>
    <w:lvl w:ilvl="3">
      <w:start w:val="1"/>
      <w:numFmt w:val="bullet"/>
      <w:lvlText w:val="●"/>
      <w:lvlJc w:val="left"/>
      <w:pPr>
        <w:ind w:left="2520" w:firstLine="12600"/>
      </w:pPr>
      <w:rPr>
        <w:rFonts w:ascii="Arial" w:eastAsia="Arial" w:hAnsi="Arial" w:cs="Arial"/>
      </w:rPr>
    </w:lvl>
    <w:lvl w:ilvl="4">
      <w:start w:val="1"/>
      <w:numFmt w:val="bullet"/>
      <w:lvlText w:val="o"/>
      <w:lvlJc w:val="left"/>
      <w:pPr>
        <w:ind w:left="3240" w:firstLine="15480"/>
      </w:pPr>
      <w:rPr>
        <w:rFonts w:ascii="Arial" w:eastAsia="Arial" w:hAnsi="Arial" w:cs="Arial"/>
      </w:rPr>
    </w:lvl>
    <w:lvl w:ilvl="5">
      <w:start w:val="1"/>
      <w:numFmt w:val="bullet"/>
      <w:lvlText w:val="▪"/>
      <w:lvlJc w:val="left"/>
      <w:pPr>
        <w:ind w:left="3960" w:firstLine="18360"/>
      </w:pPr>
      <w:rPr>
        <w:rFonts w:ascii="Arial" w:eastAsia="Arial" w:hAnsi="Arial" w:cs="Arial"/>
      </w:rPr>
    </w:lvl>
    <w:lvl w:ilvl="6">
      <w:start w:val="1"/>
      <w:numFmt w:val="bullet"/>
      <w:lvlText w:val="●"/>
      <w:lvlJc w:val="left"/>
      <w:pPr>
        <w:ind w:left="4680" w:firstLine="21240"/>
      </w:pPr>
      <w:rPr>
        <w:rFonts w:ascii="Arial" w:eastAsia="Arial" w:hAnsi="Arial" w:cs="Arial"/>
      </w:rPr>
    </w:lvl>
    <w:lvl w:ilvl="7">
      <w:start w:val="1"/>
      <w:numFmt w:val="bullet"/>
      <w:lvlText w:val="o"/>
      <w:lvlJc w:val="left"/>
      <w:pPr>
        <w:ind w:left="5400" w:firstLine="24120"/>
      </w:pPr>
      <w:rPr>
        <w:rFonts w:ascii="Arial" w:eastAsia="Arial" w:hAnsi="Arial" w:cs="Arial"/>
      </w:rPr>
    </w:lvl>
    <w:lvl w:ilvl="8">
      <w:start w:val="1"/>
      <w:numFmt w:val="bullet"/>
      <w:lvlText w:val="▪"/>
      <w:lvlJc w:val="left"/>
      <w:pPr>
        <w:ind w:left="6120" w:firstLine="27000"/>
      </w:pPr>
      <w:rPr>
        <w:rFonts w:ascii="Arial" w:eastAsia="Arial" w:hAnsi="Arial" w:cs="Arial"/>
      </w:rPr>
    </w:lvl>
  </w:abstractNum>
  <w:abstractNum w:abstractNumId="16" w15:restartNumberingAfterBreak="0">
    <w:nsid w:val="1A1B2ED0"/>
    <w:multiLevelType w:val="multilevel"/>
    <w:tmpl w:val="B7C80510"/>
    <w:lvl w:ilvl="0">
      <w:start w:val="1"/>
      <w:numFmt w:val="bullet"/>
      <w:lvlText w:val="o"/>
      <w:lvlJc w:val="left"/>
      <w:pPr>
        <w:ind w:left="720" w:firstLine="3240"/>
      </w:pPr>
      <w:rPr>
        <w:rFonts w:ascii="Courier New" w:hAnsi="Courier New" w:cs="Courier New" w:hint="default"/>
        <w:u w:val="none"/>
      </w:rPr>
    </w:lvl>
    <w:lvl w:ilvl="1">
      <w:start w:val="1"/>
      <w:numFmt w:val="bullet"/>
      <w:lvlText w:val=""/>
      <w:lvlJc w:val="left"/>
      <w:pPr>
        <w:ind w:left="1440" w:firstLine="6840"/>
      </w:pPr>
      <w:rPr>
        <w:rFonts w:ascii="Symbol" w:hAnsi="Symbol" w:hint="default"/>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17" w15:restartNumberingAfterBreak="0">
    <w:nsid w:val="1CF052F1"/>
    <w:multiLevelType w:val="multilevel"/>
    <w:tmpl w:val="4C32B0A4"/>
    <w:lvl w:ilvl="0">
      <w:start w:val="1"/>
      <w:numFmt w:val="bullet"/>
      <w:lvlText w:val="●"/>
      <w:lvlJc w:val="left"/>
      <w:pPr>
        <w:ind w:left="360" w:firstLine="2160"/>
      </w:pPr>
      <w:rPr>
        <w:rFonts w:ascii="Arial" w:eastAsia="Arial" w:hAnsi="Arial" w:cs="Arial"/>
      </w:rPr>
    </w:lvl>
    <w:lvl w:ilvl="1">
      <w:start w:val="1"/>
      <w:numFmt w:val="bullet"/>
      <w:lvlText w:val="o"/>
      <w:lvlJc w:val="left"/>
      <w:pPr>
        <w:ind w:left="1080" w:firstLine="7200"/>
      </w:pPr>
      <w:rPr>
        <w:rFonts w:ascii="Arial" w:eastAsia="Arial" w:hAnsi="Arial" w:cs="Arial"/>
      </w:rPr>
    </w:lvl>
    <w:lvl w:ilvl="2">
      <w:start w:val="1"/>
      <w:numFmt w:val="bullet"/>
      <w:lvlText w:val="▪"/>
      <w:lvlJc w:val="left"/>
      <w:pPr>
        <w:ind w:left="1800" w:firstLine="12240"/>
      </w:pPr>
      <w:rPr>
        <w:rFonts w:ascii="Arial" w:eastAsia="Arial" w:hAnsi="Arial" w:cs="Arial"/>
      </w:rPr>
    </w:lvl>
    <w:lvl w:ilvl="3">
      <w:start w:val="1"/>
      <w:numFmt w:val="bullet"/>
      <w:lvlText w:val="●"/>
      <w:lvlJc w:val="left"/>
      <w:pPr>
        <w:ind w:left="2520" w:firstLine="17280"/>
      </w:pPr>
      <w:rPr>
        <w:rFonts w:ascii="Arial" w:eastAsia="Arial" w:hAnsi="Arial" w:cs="Arial"/>
      </w:rPr>
    </w:lvl>
    <w:lvl w:ilvl="4">
      <w:start w:val="1"/>
      <w:numFmt w:val="bullet"/>
      <w:lvlText w:val="o"/>
      <w:lvlJc w:val="left"/>
      <w:pPr>
        <w:ind w:left="3240" w:firstLine="22320"/>
      </w:pPr>
      <w:rPr>
        <w:rFonts w:ascii="Arial" w:eastAsia="Arial" w:hAnsi="Arial" w:cs="Arial"/>
      </w:rPr>
    </w:lvl>
    <w:lvl w:ilvl="5">
      <w:start w:val="1"/>
      <w:numFmt w:val="bullet"/>
      <w:lvlText w:val="▪"/>
      <w:lvlJc w:val="left"/>
      <w:pPr>
        <w:ind w:left="3960" w:firstLine="27360"/>
      </w:pPr>
      <w:rPr>
        <w:rFonts w:ascii="Arial" w:eastAsia="Arial" w:hAnsi="Arial" w:cs="Arial"/>
      </w:rPr>
    </w:lvl>
    <w:lvl w:ilvl="6">
      <w:start w:val="1"/>
      <w:numFmt w:val="bullet"/>
      <w:lvlText w:val="●"/>
      <w:lvlJc w:val="left"/>
      <w:pPr>
        <w:ind w:left="4680" w:firstLine="32400"/>
      </w:pPr>
      <w:rPr>
        <w:rFonts w:ascii="Arial" w:eastAsia="Arial" w:hAnsi="Arial" w:cs="Arial"/>
      </w:rPr>
    </w:lvl>
    <w:lvl w:ilvl="7">
      <w:start w:val="1"/>
      <w:numFmt w:val="bullet"/>
      <w:lvlText w:val="o"/>
      <w:lvlJc w:val="left"/>
      <w:pPr>
        <w:ind w:left="5400" w:hanging="28096"/>
      </w:pPr>
      <w:rPr>
        <w:rFonts w:ascii="Arial" w:eastAsia="Arial" w:hAnsi="Arial" w:cs="Arial"/>
      </w:rPr>
    </w:lvl>
    <w:lvl w:ilvl="8">
      <w:start w:val="1"/>
      <w:numFmt w:val="bullet"/>
      <w:lvlText w:val="▪"/>
      <w:lvlJc w:val="left"/>
      <w:pPr>
        <w:ind w:left="6120" w:hanging="23056"/>
      </w:pPr>
      <w:rPr>
        <w:rFonts w:ascii="Arial" w:eastAsia="Arial" w:hAnsi="Arial" w:cs="Arial"/>
      </w:rPr>
    </w:lvl>
  </w:abstractNum>
  <w:abstractNum w:abstractNumId="18" w15:restartNumberingAfterBreak="0">
    <w:nsid w:val="20BD2F37"/>
    <w:multiLevelType w:val="hybridMultilevel"/>
    <w:tmpl w:val="2F621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8821DC"/>
    <w:multiLevelType w:val="multilevel"/>
    <w:tmpl w:val="52748924"/>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20" w15:restartNumberingAfterBreak="0">
    <w:nsid w:val="21904118"/>
    <w:multiLevelType w:val="multilevel"/>
    <w:tmpl w:val="FAA66EBE"/>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21" w15:restartNumberingAfterBreak="0">
    <w:nsid w:val="22055C7F"/>
    <w:multiLevelType w:val="multilevel"/>
    <w:tmpl w:val="8344708C"/>
    <w:lvl w:ilvl="0">
      <w:start w:val="1"/>
      <w:numFmt w:val="bullet"/>
      <w:lvlText w:val="●"/>
      <w:lvlJc w:val="left"/>
      <w:pPr>
        <w:ind w:left="360" w:firstLine="2160"/>
      </w:pPr>
      <w:rPr>
        <w:rFonts w:ascii="Arial" w:eastAsia="Arial" w:hAnsi="Arial" w:cs="Arial"/>
      </w:rPr>
    </w:lvl>
    <w:lvl w:ilvl="1">
      <w:start w:val="1"/>
      <w:numFmt w:val="bullet"/>
      <w:lvlText w:val="o"/>
      <w:lvlJc w:val="left"/>
      <w:pPr>
        <w:ind w:left="1080" w:firstLine="7200"/>
      </w:pPr>
      <w:rPr>
        <w:rFonts w:ascii="Arial" w:eastAsia="Arial" w:hAnsi="Arial" w:cs="Arial"/>
      </w:rPr>
    </w:lvl>
    <w:lvl w:ilvl="2">
      <w:start w:val="1"/>
      <w:numFmt w:val="bullet"/>
      <w:lvlText w:val="▪"/>
      <w:lvlJc w:val="left"/>
      <w:pPr>
        <w:ind w:left="1800" w:firstLine="12240"/>
      </w:pPr>
      <w:rPr>
        <w:rFonts w:ascii="Arial" w:eastAsia="Arial" w:hAnsi="Arial" w:cs="Arial"/>
      </w:rPr>
    </w:lvl>
    <w:lvl w:ilvl="3">
      <w:start w:val="1"/>
      <w:numFmt w:val="bullet"/>
      <w:lvlText w:val="●"/>
      <w:lvlJc w:val="left"/>
      <w:pPr>
        <w:ind w:left="2520" w:firstLine="17280"/>
      </w:pPr>
      <w:rPr>
        <w:rFonts w:ascii="Arial" w:eastAsia="Arial" w:hAnsi="Arial" w:cs="Arial"/>
      </w:rPr>
    </w:lvl>
    <w:lvl w:ilvl="4">
      <w:start w:val="1"/>
      <w:numFmt w:val="bullet"/>
      <w:lvlText w:val="o"/>
      <w:lvlJc w:val="left"/>
      <w:pPr>
        <w:ind w:left="3240" w:firstLine="22320"/>
      </w:pPr>
      <w:rPr>
        <w:rFonts w:ascii="Arial" w:eastAsia="Arial" w:hAnsi="Arial" w:cs="Arial"/>
      </w:rPr>
    </w:lvl>
    <w:lvl w:ilvl="5">
      <w:start w:val="1"/>
      <w:numFmt w:val="bullet"/>
      <w:lvlText w:val="▪"/>
      <w:lvlJc w:val="left"/>
      <w:pPr>
        <w:ind w:left="3960" w:firstLine="27360"/>
      </w:pPr>
      <w:rPr>
        <w:rFonts w:ascii="Arial" w:eastAsia="Arial" w:hAnsi="Arial" w:cs="Arial"/>
      </w:rPr>
    </w:lvl>
    <w:lvl w:ilvl="6">
      <w:start w:val="1"/>
      <w:numFmt w:val="bullet"/>
      <w:lvlText w:val="●"/>
      <w:lvlJc w:val="left"/>
      <w:pPr>
        <w:ind w:left="4680" w:firstLine="32400"/>
      </w:pPr>
      <w:rPr>
        <w:rFonts w:ascii="Arial" w:eastAsia="Arial" w:hAnsi="Arial" w:cs="Arial"/>
      </w:rPr>
    </w:lvl>
    <w:lvl w:ilvl="7">
      <w:start w:val="1"/>
      <w:numFmt w:val="bullet"/>
      <w:lvlText w:val="o"/>
      <w:lvlJc w:val="left"/>
      <w:pPr>
        <w:ind w:left="5400" w:hanging="28096"/>
      </w:pPr>
      <w:rPr>
        <w:rFonts w:ascii="Arial" w:eastAsia="Arial" w:hAnsi="Arial" w:cs="Arial"/>
      </w:rPr>
    </w:lvl>
    <w:lvl w:ilvl="8">
      <w:start w:val="1"/>
      <w:numFmt w:val="bullet"/>
      <w:lvlText w:val="▪"/>
      <w:lvlJc w:val="left"/>
      <w:pPr>
        <w:ind w:left="6120" w:hanging="23056"/>
      </w:pPr>
      <w:rPr>
        <w:rFonts w:ascii="Arial" w:eastAsia="Arial" w:hAnsi="Arial" w:cs="Arial"/>
      </w:rPr>
    </w:lvl>
  </w:abstractNum>
  <w:abstractNum w:abstractNumId="22" w15:restartNumberingAfterBreak="0">
    <w:nsid w:val="22E44AA5"/>
    <w:multiLevelType w:val="multilevel"/>
    <w:tmpl w:val="CD38586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3" w15:restartNumberingAfterBreak="0">
    <w:nsid w:val="27564504"/>
    <w:multiLevelType w:val="multilevel"/>
    <w:tmpl w:val="B67AE8D6"/>
    <w:lvl w:ilvl="0">
      <w:start w:val="1"/>
      <w:numFmt w:val="decimal"/>
      <w:lvlText w:val="%1."/>
      <w:lvlJc w:val="left"/>
      <w:pPr>
        <w:ind w:left="765" w:firstLine="1935"/>
      </w:pPr>
    </w:lvl>
    <w:lvl w:ilvl="1">
      <w:start w:val="1"/>
      <w:numFmt w:val="bullet"/>
      <w:lvlText w:val="o"/>
      <w:lvlJc w:val="left"/>
      <w:pPr>
        <w:ind w:left="1485" w:firstLine="4095"/>
      </w:pPr>
      <w:rPr>
        <w:rFonts w:ascii="Arial" w:eastAsia="Arial" w:hAnsi="Arial" w:cs="Arial"/>
      </w:rPr>
    </w:lvl>
    <w:lvl w:ilvl="2">
      <w:start w:val="1"/>
      <w:numFmt w:val="bullet"/>
      <w:lvlText w:val="▪"/>
      <w:lvlJc w:val="left"/>
      <w:pPr>
        <w:ind w:left="2205" w:firstLine="6255"/>
      </w:pPr>
      <w:rPr>
        <w:rFonts w:ascii="Arial" w:eastAsia="Arial" w:hAnsi="Arial" w:cs="Arial"/>
      </w:rPr>
    </w:lvl>
    <w:lvl w:ilvl="3">
      <w:start w:val="1"/>
      <w:numFmt w:val="bullet"/>
      <w:lvlText w:val="●"/>
      <w:lvlJc w:val="left"/>
      <w:pPr>
        <w:ind w:left="2925" w:firstLine="8415"/>
      </w:pPr>
      <w:rPr>
        <w:rFonts w:ascii="Arial" w:eastAsia="Arial" w:hAnsi="Arial" w:cs="Arial"/>
      </w:rPr>
    </w:lvl>
    <w:lvl w:ilvl="4">
      <w:start w:val="1"/>
      <w:numFmt w:val="bullet"/>
      <w:lvlText w:val="o"/>
      <w:lvlJc w:val="left"/>
      <w:pPr>
        <w:ind w:left="3645" w:firstLine="10575"/>
      </w:pPr>
      <w:rPr>
        <w:rFonts w:ascii="Arial" w:eastAsia="Arial" w:hAnsi="Arial" w:cs="Arial"/>
      </w:rPr>
    </w:lvl>
    <w:lvl w:ilvl="5">
      <w:start w:val="1"/>
      <w:numFmt w:val="bullet"/>
      <w:lvlText w:val="▪"/>
      <w:lvlJc w:val="left"/>
      <w:pPr>
        <w:ind w:left="4365" w:firstLine="12735"/>
      </w:pPr>
      <w:rPr>
        <w:rFonts w:ascii="Arial" w:eastAsia="Arial" w:hAnsi="Arial" w:cs="Arial"/>
      </w:rPr>
    </w:lvl>
    <w:lvl w:ilvl="6">
      <w:start w:val="1"/>
      <w:numFmt w:val="bullet"/>
      <w:lvlText w:val="●"/>
      <w:lvlJc w:val="left"/>
      <w:pPr>
        <w:ind w:left="5085" w:firstLine="14895"/>
      </w:pPr>
      <w:rPr>
        <w:rFonts w:ascii="Arial" w:eastAsia="Arial" w:hAnsi="Arial" w:cs="Arial"/>
      </w:rPr>
    </w:lvl>
    <w:lvl w:ilvl="7">
      <w:start w:val="1"/>
      <w:numFmt w:val="bullet"/>
      <w:lvlText w:val="o"/>
      <w:lvlJc w:val="left"/>
      <w:pPr>
        <w:ind w:left="5805" w:firstLine="17055"/>
      </w:pPr>
      <w:rPr>
        <w:rFonts w:ascii="Arial" w:eastAsia="Arial" w:hAnsi="Arial" w:cs="Arial"/>
      </w:rPr>
    </w:lvl>
    <w:lvl w:ilvl="8">
      <w:start w:val="1"/>
      <w:numFmt w:val="bullet"/>
      <w:lvlText w:val="▪"/>
      <w:lvlJc w:val="left"/>
      <w:pPr>
        <w:ind w:left="6525" w:firstLine="19215"/>
      </w:pPr>
      <w:rPr>
        <w:rFonts w:ascii="Arial" w:eastAsia="Arial" w:hAnsi="Arial" w:cs="Arial"/>
      </w:rPr>
    </w:lvl>
  </w:abstractNum>
  <w:abstractNum w:abstractNumId="24" w15:restartNumberingAfterBreak="0">
    <w:nsid w:val="2DBC4F98"/>
    <w:multiLevelType w:val="multilevel"/>
    <w:tmpl w:val="907A00C6"/>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25" w15:restartNumberingAfterBreak="0">
    <w:nsid w:val="2FBF76EC"/>
    <w:multiLevelType w:val="multilevel"/>
    <w:tmpl w:val="D7FA276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04D2EAC"/>
    <w:multiLevelType w:val="multilevel"/>
    <w:tmpl w:val="753053F4"/>
    <w:lvl w:ilvl="0">
      <w:start w:val="1"/>
      <w:numFmt w:val="bullet"/>
      <w:lvlText w:val="●"/>
      <w:lvlJc w:val="left"/>
      <w:pPr>
        <w:ind w:left="1440" w:firstLine="5400"/>
      </w:pPr>
      <w:rPr>
        <w:rFonts w:ascii="Arial" w:eastAsia="Arial" w:hAnsi="Arial" w:cs="Arial"/>
      </w:rPr>
    </w:lvl>
    <w:lvl w:ilvl="1">
      <w:start w:val="1"/>
      <w:numFmt w:val="bullet"/>
      <w:lvlText w:val="o"/>
      <w:lvlJc w:val="left"/>
      <w:pPr>
        <w:ind w:left="2160" w:firstLine="8280"/>
      </w:pPr>
      <w:rPr>
        <w:rFonts w:ascii="Arial" w:eastAsia="Arial" w:hAnsi="Arial" w:cs="Arial"/>
      </w:rPr>
    </w:lvl>
    <w:lvl w:ilvl="2">
      <w:start w:val="1"/>
      <w:numFmt w:val="bullet"/>
      <w:lvlText w:val="▪"/>
      <w:lvlJc w:val="left"/>
      <w:pPr>
        <w:ind w:left="2880" w:firstLine="11160"/>
      </w:pPr>
      <w:rPr>
        <w:rFonts w:ascii="Arial" w:eastAsia="Arial" w:hAnsi="Arial" w:cs="Arial"/>
      </w:rPr>
    </w:lvl>
    <w:lvl w:ilvl="3">
      <w:start w:val="1"/>
      <w:numFmt w:val="bullet"/>
      <w:lvlText w:val="●"/>
      <w:lvlJc w:val="left"/>
      <w:pPr>
        <w:ind w:left="3600" w:firstLine="14040"/>
      </w:pPr>
      <w:rPr>
        <w:rFonts w:ascii="Arial" w:eastAsia="Arial" w:hAnsi="Arial" w:cs="Arial"/>
      </w:rPr>
    </w:lvl>
    <w:lvl w:ilvl="4">
      <w:start w:val="1"/>
      <w:numFmt w:val="bullet"/>
      <w:lvlText w:val="o"/>
      <w:lvlJc w:val="left"/>
      <w:pPr>
        <w:ind w:left="4320" w:firstLine="16920"/>
      </w:pPr>
      <w:rPr>
        <w:rFonts w:ascii="Arial" w:eastAsia="Arial" w:hAnsi="Arial" w:cs="Arial"/>
      </w:rPr>
    </w:lvl>
    <w:lvl w:ilvl="5">
      <w:start w:val="1"/>
      <w:numFmt w:val="bullet"/>
      <w:lvlText w:val="▪"/>
      <w:lvlJc w:val="left"/>
      <w:pPr>
        <w:ind w:left="5040" w:firstLine="19800"/>
      </w:pPr>
      <w:rPr>
        <w:rFonts w:ascii="Arial" w:eastAsia="Arial" w:hAnsi="Arial" w:cs="Arial"/>
      </w:rPr>
    </w:lvl>
    <w:lvl w:ilvl="6">
      <w:start w:val="1"/>
      <w:numFmt w:val="bullet"/>
      <w:lvlText w:val="●"/>
      <w:lvlJc w:val="left"/>
      <w:pPr>
        <w:ind w:left="5760" w:firstLine="22680"/>
      </w:pPr>
      <w:rPr>
        <w:rFonts w:ascii="Arial" w:eastAsia="Arial" w:hAnsi="Arial" w:cs="Arial"/>
      </w:rPr>
    </w:lvl>
    <w:lvl w:ilvl="7">
      <w:start w:val="1"/>
      <w:numFmt w:val="bullet"/>
      <w:lvlText w:val="o"/>
      <w:lvlJc w:val="left"/>
      <w:pPr>
        <w:ind w:left="6480" w:firstLine="25560"/>
      </w:pPr>
      <w:rPr>
        <w:rFonts w:ascii="Arial" w:eastAsia="Arial" w:hAnsi="Arial" w:cs="Arial"/>
      </w:rPr>
    </w:lvl>
    <w:lvl w:ilvl="8">
      <w:start w:val="1"/>
      <w:numFmt w:val="bullet"/>
      <w:lvlText w:val="▪"/>
      <w:lvlJc w:val="left"/>
      <w:pPr>
        <w:ind w:left="7200" w:firstLine="28440"/>
      </w:pPr>
      <w:rPr>
        <w:rFonts w:ascii="Arial" w:eastAsia="Arial" w:hAnsi="Arial" w:cs="Arial"/>
      </w:rPr>
    </w:lvl>
  </w:abstractNum>
  <w:abstractNum w:abstractNumId="27" w15:restartNumberingAfterBreak="0">
    <w:nsid w:val="38D90A24"/>
    <w:multiLevelType w:val="multilevel"/>
    <w:tmpl w:val="7EB8E4E8"/>
    <w:lvl w:ilvl="0">
      <w:start w:val="1"/>
      <w:numFmt w:val="bullet"/>
      <w:lvlText w:val="●"/>
      <w:lvlJc w:val="left"/>
      <w:pPr>
        <w:ind w:left="720" w:firstLine="4680"/>
      </w:pPr>
      <w:rPr>
        <w:rFonts w:ascii="Arial" w:eastAsia="Arial" w:hAnsi="Arial" w:cs="Arial"/>
      </w:rPr>
    </w:lvl>
    <w:lvl w:ilvl="1">
      <w:start w:val="1"/>
      <w:numFmt w:val="bullet"/>
      <w:lvlText w:val="o"/>
      <w:lvlJc w:val="left"/>
      <w:pPr>
        <w:ind w:left="1440" w:firstLine="9720"/>
      </w:pPr>
      <w:rPr>
        <w:rFonts w:ascii="Arial" w:eastAsia="Arial" w:hAnsi="Arial" w:cs="Arial"/>
      </w:rPr>
    </w:lvl>
    <w:lvl w:ilvl="2">
      <w:start w:val="1"/>
      <w:numFmt w:val="bullet"/>
      <w:lvlText w:val="▪"/>
      <w:lvlJc w:val="left"/>
      <w:pPr>
        <w:ind w:left="2160" w:firstLine="14760"/>
      </w:pPr>
      <w:rPr>
        <w:rFonts w:ascii="Arial" w:eastAsia="Arial" w:hAnsi="Arial" w:cs="Arial"/>
      </w:rPr>
    </w:lvl>
    <w:lvl w:ilvl="3">
      <w:start w:val="1"/>
      <w:numFmt w:val="bullet"/>
      <w:lvlText w:val="●"/>
      <w:lvlJc w:val="left"/>
      <w:pPr>
        <w:ind w:left="2880" w:firstLine="19800"/>
      </w:pPr>
      <w:rPr>
        <w:rFonts w:ascii="Arial" w:eastAsia="Arial" w:hAnsi="Arial" w:cs="Arial"/>
      </w:rPr>
    </w:lvl>
    <w:lvl w:ilvl="4">
      <w:start w:val="1"/>
      <w:numFmt w:val="bullet"/>
      <w:lvlText w:val="o"/>
      <w:lvlJc w:val="left"/>
      <w:pPr>
        <w:ind w:left="3600" w:firstLine="24840"/>
      </w:pPr>
      <w:rPr>
        <w:rFonts w:ascii="Arial" w:eastAsia="Arial" w:hAnsi="Arial" w:cs="Arial"/>
      </w:rPr>
    </w:lvl>
    <w:lvl w:ilvl="5">
      <w:start w:val="1"/>
      <w:numFmt w:val="bullet"/>
      <w:lvlText w:val="▪"/>
      <w:lvlJc w:val="left"/>
      <w:pPr>
        <w:ind w:left="4320" w:firstLine="29880"/>
      </w:pPr>
      <w:rPr>
        <w:rFonts w:ascii="Arial" w:eastAsia="Arial" w:hAnsi="Arial" w:cs="Arial"/>
      </w:rPr>
    </w:lvl>
    <w:lvl w:ilvl="6">
      <w:start w:val="1"/>
      <w:numFmt w:val="bullet"/>
      <w:lvlText w:val="●"/>
      <w:lvlJc w:val="left"/>
      <w:pPr>
        <w:ind w:left="5040" w:hanging="30616"/>
      </w:pPr>
      <w:rPr>
        <w:rFonts w:ascii="Arial" w:eastAsia="Arial" w:hAnsi="Arial" w:cs="Arial"/>
      </w:rPr>
    </w:lvl>
    <w:lvl w:ilvl="7">
      <w:start w:val="1"/>
      <w:numFmt w:val="bullet"/>
      <w:lvlText w:val="o"/>
      <w:lvlJc w:val="left"/>
      <w:pPr>
        <w:ind w:left="5760" w:hanging="25576"/>
      </w:pPr>
      <w:rPr>
        <w:rFonts w:ascii="Arial" w:eastAsia="Arial" w:hAnsi="Arial" w:cs="Arial"/>
      </w:rPr>
    </w:lvl>
    <w:lvl w:ilvl="8">
      <w:start w:val="1"/>
      <w:numFmt w:val="bullet"/>
      <w:lvlText w:val="▪"/>
      <w:lvlJc w:val="left"/>
      <w:pPr>
        <w:ind w:left="6480" w:hanging="20536"/>
      </w:pPr>
      <w:rPr>
        <w:rFonts w:ascii="Arial" w:eastAsia="Arial" w:hAnsi="Arial" w:cs="Arial"/>
      </w:rPr>
    </w:lvl>
  </w:abstractNum>
  <w:abstractNum w:abstractNumId="28" w15:restartNumberingAfterBreak="0">
    <w:nsid w:val="3B4C0D07"/>
    <w:multiLevelType w:val="multilevel"/>
    <w:tmpl w:val="DE76D4C2"/>
    <w:lvl w:ilvl="0">
      <w:start w:val="1"/>
      <w:numFmt w:val="bullet"/>
      <w:lvlText w:val="●"/>
      <w:lvlJc w:val="left"/>
      <w:pPr>
        <w:ind w:left="1080" w:firstLine="4680"/>
      </w:pPr>
      <w:rPr>
        <w:rFonts w:ascii="Arial" w:eastAsia="Arial" w:hAnsi="Arial" w:cs="Arial"/>
      </w:rPr>
    </w:lvl>
    <w:lvl w:ilvl="1">
      <w:start w:val="1"/>
      <w:numFmt w:val="bullet"/>
      <w:lvlText w:val="o"/>
      <w:lvlJc w:val="left"/>
      <w:pPr>
        <w:ind w:left="1800" w:firstLine="9720"/>
      </w:pPr>
      <w:rPr>
        <w:rFonts w:ascii="Arial" w:eastAsia="Arial" w:hAnsi="Arial" w:cs="Arial"/>
      </w:rPr>
    </w:lvl>
    <w:lvl w:ilvl="2">
      <w:start w:val="1"/>
      <w:numFmt w:val="bullet"/>
      <w:lvlText w:val="▪"/>
      <w:lvlJc w:val="left"/>
      <w:pPr>
        <w:ind w:left="2520" w:firstLine="14760"/>
      </w:pPr>
      <w:rPr>
        <w:rFonts w:ascii="Arial" w:eastAsia="Arial" w:hAnsi="Arial" w:cs="Arial"/>
      </w:rPr>
    </w:lvl>
    <w:lvl w:ilvl="3">
      <w:start w:val="1"/>
      <w:numFmt w:val="bullet"/>
      <w:lvlText w:val="●"/>
      <w:lvlJc w:val="left"/>
      <w:pPr>
        <w:ind w:left="3240" w:firstLine="19800"/>
      </w:pPr>
      <w:rPr>
        <w:rFonts w:ascii="Arial" w:eastAsia="Arial" w:hAnsi="Arial" w:cs="Arial"/>
      </w:rPr>
    </w:lvl>
    <w:lvl w:ilvl="4">
      <w:start w:val="1"/>
      <w:numFmt w:val="bullet"/>
      <w:lvlText w:val="o"/>
      <w:lvlJc w:val="left"/>
      <w:pPr>
        <w:ind w:left="3960" w:firstLine="24840"/>
      </w:pPr>
      <w:rPr>
        <w:rFonts w:ascii="Arial" w:eastAsia="Arial" w:hAnsi="Arial" w:cs="Arial"/>
      </w:rPr>
    </w:lvl>
    <w:lvl w:ilvl="5">
      <w:start w:val="1"/>
      <w:numFmt w:val="bullet"/>
      <w:lvlText w:val="▪"/>
      <w:lvlJc w:val="left"/>
      <w:pPr>
        <w:ind w:left="4680" w:firstLine="29880"/>
      </w:pPr>
      <w:rPr>
        <w:rFonts w:ascii="Arial" w:eastAsia="Arial" w:hAnsi="Arial" w:cs="Arial"/>
      </w:rPr>
    </w:lvl>
    <w:lvl w:ilvl="6">
      <w:start w:val="1"/>
      <w:numFmt w:val="bullet"/>
      <w:lvlText w:val="●"/>
      <w:lvlJc w:val="left"/>
      <w:pPr>
        <w:ind w:left="5400" w:hanging="30616"/>
      </w:pPr>
      <w:rPr>
        <w:rFonts w:ascii="Arial" w:eastAsia="Arial" w:hAnsi="Arial" w:cs="Arial"/>
      </w:rPr>
    </w:lvl>
    <w:lvl w:ilvl="7">
      <w:start w:val="1"/>
      <w:numFmt w:val="bullet"/>
      <w:lvlText w:val="o"/>
      <w:lvlJc w:val="left"/>
      <w:pPr>
        <w:ind w:left="6120" w:hanging="25576"/>
      </w:pPr>
      <w:rPr>
        <w:rFonts w:ascii="Arial" w:eastAsia="Arial" w:hAnsi="Arial" w:cs="Arial"/>
      </w:rPr>
    </w:lvl>
    <w:lvl w:ilvl="8">
      <w:start w:val="1"/>
      <w:numFmt w:val="bullet"/>
      <w:lvlText w:val="▪"/>
      <w:lvlJc w:val="left"/>
      <w:pPr>
        <w:ind w:left="6840" w:hanging="20536"/>
      </w:pPr>
      <w:rPr>
        <w:rFonts w:ascii="Arial" w:eastAsia="Arial" w:hAnsi="Arial" w:cs="Arial"/>
      </w:rPr>
    </w:lvl>
  </w:abstractNum>
  <w:abstractNum w:abstractNumId="29" w15:restartNumberingAfterBreak="0">
    <w:nsid w:val="3BE50050"/>
    <w:multiLevelType w:val="multilevel"/>
    <w:tmpl w:val="5BEE2DA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0" w15:restartNumberingAfterBreak="0">
    <w:nsid w:val="42D5324D"/>
    <w:multiLevelType w:val="multilevel"/>
    <w:tmpl w:val="FE162B7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1" w15:restartNumberingAfterBreak="0">
    <w:nsid w:val="453B3321"/>
    <w:multiLevelType w:val="hybridMultilevel"/>
    <w:tmpl w:val="8706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574FF7"/>
    <w:multiLevelType w:val="multilevel"/>
    <w:tmpl w:val="09C8B524"/>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840"/>
      </w:pPr>
      <w:rPr>
        <w:rFonts w:ascii="Arial" w:eastAsia="Arial" w:hAnsi="Arial" w:cs="Arial"/>
      </w:rPr>
    </w:lvl>
    <w:lvl w:ilvl="3">
      <w:start w:val="1"/>
      <w:numFmt w:val="bullet"/>
      <w:lvlText w:val="●"/>
      <w:lvlJc w:val="left"/>
      <w:pPr>
        <w:ind w:left="2520" w:firstLine="9720"/>
      </w:pPr>
      <w:rPr>
        <w:rFonts w:ascii="Arial" w:eastAsia="Arial" w:hAnsi="Arial" w:cs="Arial"/>
      </w:r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33" w15:restartNumberingAfterBreak="0">
    <w:nsid w:val="499F2943"/>
    <w:multiLevelType w:val="multilevel"/>
    <w:tmpl w:val="6BDE8888"/>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34" w15:restartNumberingAfterBreak="0">
    <w:nsid w:val="49AE4BE0"/>
    <w:multiLevelType w:val="multilevel"/>
    <w:tmpl w:val="27728432"/>
    <w:lvl w:ilvl="0">
      <w:start w:val="1"/>
      <w:numFmt w:val="bullet"/>
      <w:lvlText w:val="●"/>
      <w:lvlJc w:val="left"/>
      <w:pPr>
        <w:ind w:left="1440" w:firstLine="3240"/>
      </w:pPr>
      <w:rPr>
        <w:rFonts w:ascii="Arial" w:eastAsia="Arial" w:hAnsi="Arial" w:cs="Arial"/>
        <w:u w:val="none"/>
      </w:rPr>
    </w:lvl>
    <w:lvl w:ilvl="1">
      <w:start w:val="1"/>
      <w:numFmt w:val="bullet"/>
      <w:lvlText w:val="○"/>
      <w:lvlJc w:val="left"/>
      <w:pPr>
        <w:ind w:left="2160" w:firstLine="6840"/>
      </w:pPr>
      <w:rPr>
        <w:rFonts w:ascii="Arial" w:eastAsia="Arial" w:hAnsi="Arial" w:cs="Arial"/>
        <w:u w:val="none"/>
      </w:rPr>
    </w:lvl>
    <w:lvl w:ilvl="2">
      <w:start w:val="1"/>
      <w:numFmt w:val="bullet"/>
      <w:lvlText w:val="■"/>
      <w:lvlJc w:val="left"/>
      <w:pPr>
        <w:ind w:left="2880" w:firstLine="10440"/>
      </w:pPr>
      <w:rPr>
        <w:rFonts w:ascii="Arial" w:eastAsia="Arial" w:hAnsi="Arial" w:cs="Arial"/>
        <w:u w:val="none"/>
      </w:rPr>
    </w:lvl>
    <w:lvl w:ilvl="3">
      <w:start w:val="1"/>
      <w:numFmt w:val="bullet"/>
      <w:lvlText w:val="●"/>
      <w:lvlJc w:val="left"/>
      <w:pPr>
        <w:ind w:left="3600" w:firstLine="14040"/>
      </w:pPr>
      <w:rPr>
        <w:rFonts w:ascii="Arial" w:eastAsia="Arial" w:hAnsi="Arial" w:cs="Arial"/>
        <w:u w:val="none"/>
      </w:rPr>
    </w:lvl>
    <w:lvl w:ilvl="4">
      <w:start w:val="1"/>
      <w:numFmt w:val="bullet"/>
      <w:lvlText w:val="○"/>
      <w:lvlJc w:val="left"/>
      <w:pPr>
        <w:ind w:left="4320" w:firstLine="17640"/>
      </w:pPr>
      <w:rPr>
        <w:rFonts w:ascii="Arial" w:eastAsia="Arial" w:hAnsi="Arial" w:cs="Arial"/>
        <w:u w:val="none"/>
      </w:rPr>
    </w:lvl>
    <w:lvl w:ilvl="5">
      <w:start w:val="1"/>
      <w:numFmt w:val="bullet"/>
      <w:lvlText w:val="■"/>
      <w:lvlJc w:val="left"/>
      <w:pPr>
        <w:ind w:left="5040" w:firstLine="21240"/>
      </w:pPr>
      <w:rPr>
        <w:rFonts w:ascii="Arial" w:eastAsia="Arial" w:hAnsi="Arial" w:cs="Arial"/>
        <w:u w:val="none"/>
      </w:rPr>
    </w:lvl>
    <w:lvl w:ilvl="6">
      <w:start w:val="1"/>
      <w:numFmt w:val="bullet"/>
      <w:lvlText w:val="●"/>
      <w:lvlJc w:val="left"/>
      <w:pPr>
        <w:ind w:left="5760" w:firstLine="24840"/>
      </w:pPr>
      <w:rPr>
        <w:rFonts w:ascii="Arial" w:eastAsia="Arial" w:hAnsi="Arial" w:cs="Arial"/>
        <w:u w:val="none"/>
      </w:rPr>
    </w:lvl>
    <w:lvl w:ilvl="7">
      <w:start w:val="1"/>
      <w:numFmt w:val="bullet"/>
      <w:lvlText w:val="○"/>
      <w:lvlJc w:val="left"/>
      <w:pPr>
        <w:ind w:left="6480" w:firstLine="28440"/>
      </w:pPr>
      <w:rPr>
        <w:rFonts w:ascii="Arial" w:eastAsia="Arial" w:hAnsi="Arial" w:cs="Arial"/>
        <w:u w:val="none"/>
      </w:rPr>
    </w:lvl>
    <w:lvl w:ilvl="8">
      <w:start w:val="1"/>
      <w:numFmt w:val="bullet"/>
      <w:lvlText w:val="■"/>
      <w:lvlJc w:val="left"/>
      <w:pPr>
        <w:ind w:left="7200" w:firstLine="32040"/>
      </w:pPr>
      <w:rPr>
        <w:rFonts w:ascii="Arial" w:eastAsia="Arial" w:hAnsi="Arial" w:cs="Arial"/>
        <w:u w:val="none"/>
      </w:rPr>
    </w:lvl>
  </w:abstractNum>
  <w:abstractNum w:abstractNumId="35" w15:restartNumberingAfterBreak="0">
    <w:nsid w:val="4A1C4710"/>
    <w:multiLevelType w:val="multilevel"/>
    <w:tmpl w:val="E348BD5A"/>
    <w:lvl w:ilvl="0">
      <w:start w:val="1"/>
      <w:numFmt w:val="bullet"/>
      <w:lvlText w:val="●"/>
      <w:lvlJc w:val="left"/>
      <w:pPr>
        <w:ind w:left="1080" w:firstLine="3960"/>
      </w:pPr>
      <w:rPr>
        <w:rFonts w:ascii="Arial" w:eastAsia="Arial" w:hAnsi="Arial" w:cs="Arial"/>
      </w:rPr>
    </w:lvl>
    <w:lvl w:ilvl="1">
      <w:start w:val="1"/>
      <w:numFmt w:val="bullet"/>
      <w:lvlText w:val="o"/>
      <w:lvlJc w:val="left"/>
      <w:pPr>
        <w:ind w:left="1800" w:firstLine="6840"/>
      </w:pPr>
      <w:rPr>
        <w:rFonts w:ascii="Arial" w:eastAsia="Arial" w:hAnsi="Arial" w:cs="Arial"/>
      </w:rPr>
    </w:lvl>
    <w:lvl w:ilvl="2">
      <w:start w:val="1"/>
      <w:numFmt w:val="bullet"/>
      <w:lvlText w:val="▪"/>
      <w:lvlJc w:val="left"/>
      <w:pPr>
        <w:ind w:left="2520" w:firstLine="9720"/>
      </w:pPr>
      <w:rPr>
        <w:rFonts w:ascii="Arial" w:eastAsia="Arial" w:hAnsi="Arial" w:cs="Arial"/>
      </w:rPr>
    </w:lvl>
    <w:lvl w:ilvl="3">
      <w:start w:val="1"/>
      <w:numFmt w:val="bullet"/>
      <w:lvlText w:val="●"/>
      <w:lvlJc w:val="left"/>
      <w:pPr>
        <w:ind w:left="3240" w:firstLine="12600"/>
      </w:pPr>
      <w:rPr>
        <w:rFonts w:ascii="Arial" w:eastAsia="Arial" w:hAnsi="Arial" w:cs="Arial"/>
      </w:rPr>
    </w:lvl>
    <w:lvl w:ilvl="4">
      <w:start w:val="1"/>
      <w:numFmt w:val="bullet"/>
      <w:lvlText w:val="o"/>
      <w:lvlJc w:val="left"/>
      <w:pPr>
        <w:ind w:left="3960" w:firstLine="15480"/>
      </w:pPr>
      <w:rPr>
        <w:rFonts w:ascii="Arial" w:eastAsia="Arial" w:hAnsi="Arial" w:cs="Arial"/>
      </w:rPr>
    </w:lvl>
    <w:lvl w:ilvl="5">
      <w:start w:val="1"/>
      <w:numFmt w:val="bullet"/>
      <w:lvlText w:val="▪"/>
      <w:lvlJc w:val="left"/>
      <w:pPr>
        <w:ind w:left="4680" w:firstLine="18360"/>
      </w:pPr>
      <w:rPr>
        <w:rFonts w:ascii="Arial" w:eastAsia="Arial" w:hAnsi="Arial" w:cs="Arial"/>
      </w:rPr>
    </w:lvl>
    <w:lvl w:ilvl="6">
      <w:start w:val="1"/>
      <w:numFmt w:val="bullet"/>
      <w:lvlText w:val="●"/>
      <w:lvlJc w:val="left"/>
      <w:pPr>
        <w:ind w:left="5400" w:firstLine="21240"/>
      </w:pPr>
      <w:rPr>
        <w:rFonts w:ascii="Arial" w:eastAsia="Arial" w:hAnsi="Arial" w:cs="Arial"/>
      </w:rPr>
    </w:lvl>
    <w:lvl w:ilvl="7">
      <w:start w:val="1"/>
      <w:numFmt w:val="bullet"/>
      <w:lvlText w:val="o"/>
      <w:lvlJc w:val="left"/>
      <w:pPr>
        <w:ind w:left="6120" w:firstLine="24120"/>
      </w:pPr>
      <w:rPr>
        <w:rFonts w:ascii="Arial" w:eastAsia="Arial" w:hAnsi="Arial" w:cs="Arial"/>
      </w:rPr>
    </w:lvl>
    <w:lvl w:ilvl="8">
      <w:start w:val="1"/>
      <w:numFmt w:val="bullet"/>
      <w:lvlText w:val="▪"/>
      <w:lvlJc w:val="left"/>
      <w:pPr>
        <w:ind w:left="6840" w:firstLine="27000"/>
      </w:pPr>
      <w:rPr>
        <w:rFonts w:ascii="Arial" w:eastAsia="Arial" w:hAnsi="Arial" w:cs="Arial"/>
      </w:rPr>
    </w:lvl>
  </w:abstractNum>
  <w:abstractNum w:abstractNumId="36" w15:restartNumberingAfterBreak="0">
    <w:nsid w:val="4D8B1B3A"/>
    <w:multiLevelType w:val="multilevel"/>
    <w:tmpl w:val="740EAF56"/>
    <w:lvl w:ilvl="0">
      <w:start w:val="1"/>
      <w:numFmt w:val="decimal"/>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4E1410CA"/>
    <w:multiLevelType w:val="multilevel"/>
    <w:tmpl w:val="6F7A2E40"/>
    <w:lvl w:ilvl="0">
      <w:start w:val="1"/>
      <w:numFmt w:val="bullet"/>
      <w:lvlText w:val="●"/>
      <w:lvlJc w:val="left"/>
      <w:pPr>
        <w:ind w:left="360" w:firstLine="2160"/>
      </w:pPr>
      <w:rPr>
        <w:rFonts w:ascii="Arial" w:eastAsia="Arial" w:hAnsi="Arial" w:cs="Arial"/>
      </w:rPr>
    </w:lvl>
    <w:lvl w:ilvl="1">
      <w:start w:val="1"/>
      <w:numFmt w:val="bullet"/>
      <w:lvlText w:val="o"/>
      <w:lvlJc w:val="left"/>
      <w:pPr>
        <w:ind w:left="1080" w:firstLine="7200"/>
      </w:pPr>
      <w:rPr>
        <w:rFonts w:ascii="Arial" w:eastAsia="Arial" w:hAnsi="Arial" w:cs="Arial"/>
      </w:rPr>
    </w:lvl>
    <w:lvl w:ilvl="2">
      <w:start w:val="1"/>
      <w:numFmt w:val="bullet"/>
      <w:lvlText w:val="▪"/>
      <w:lvlJc w:val="left"/>
      <w:pPr>
        <w:ind w:left="1800" w:firstLine="12240"/>
      </w:pPr>
      <w:rPr>
        <w:rFonts w:ascii="Arial" w:eastAsia="Arial" w:hAnsi="Arial" w:cs="Arial"/>
      </w:rPr>
    </w:lvl>
    <w:lvl w:ilvl="3">
      <w:start w:val="1"/>
      <w:numFmt w:val="bullet"/>
      <w:lvlText w:val="●"/>
      <w:lvlJc w:val="left"/>
      <w:pPr>
        <w:ind w:left="2520" w:firstLine="17280"/>
      </w:pPr>
      <w:rPr>
        <w:rFonts w:ascii="Arial" w:eastAsia="Arial" w:hAnsi="Arial" w:cs="Arial"/>
      </w:rPr>
    </w:lvl>
    <w:lvl w:ilvl="4">
      <w:start w:val="1"/>
      <w:numFmt w:val="bullet"/>
      <w:lvlText w:val="o"/>
      <w:lvlJc w:val="left"/>
      <w:pPr>
        <w:ind w:left="3240" w:firstLine="22320"/>
      </w:pPr>
      <w:rPr>
        <w:rFonts w:ascii="Arial" w:eastAsia="Arial" w:hAnsi="Arial" w:cs="Arial"/>
      </w:rPr>
    </w:lvl>
    <w:lvl w:ilvl="5">
      <w:start w:val="1"/>
      <w:numFmt w:val="bullet"/>
      <w:lvlText w:val="▪"/>
      <w:lvlJc w:val="left"/>
      <w:pPr>
        <w:ind w:left="3960" w:firstLine="27360"/>
      </w:pPr>
      <w:rPr>
        <w:rFonts w:ascii="Arial" w:eastAsia="Arial" w:hAnsi="Arial" w:cs="Arial"/>
      </w:rPr>
    </w:lvl>
    <w:lvl w:ilvl="6">
      <w:start w:val="1"/>
      <w:numFmt w:val="bullet"/>
      <w:lvlText w:val="●"/>
      <w:lvlJc w:val="left"/>
      <w:pPr>
        <w:ind w:left="4680" w:firstLine="32400"/>
      </w:pPr>
      <w:rPr>
        <w:rFonts w:ascii="Arial" w:eastAsia="Arial" w:hAnsi="Arial" w:cs="Arial"/>
      </w:rPr>
    </w:lvl>
    <w:lvl w:ilvl="7">
      <w:start w:val="1"/>
      <w:numFmt w:val="bullet"/>
      <w:lvlText w:val="o"/>
      <w:lvlJc w:val="left"/>
      <w:pPr>
        <w:ind w:left="5400" w:hanging="28096"/>
      </w:pPr>
      <w:rPr>
        <w:rFonts w:ascii="Arial" w:eastAsia="Arial" w:hAnsi="Arial" w:cs="Arial"/>
      </w:rPr>
    </w:lvl>
    <w:lvl w:ilvl="8">
      <w:start w:val="1"/>
      <w:numFmt w:val="bullet"/>
      <w:lvlText w:val="▪"/>
      <w:lvlJc w:val="left"/>
      <w:pPr>
        <w:ind w:left="6120" w:hanging="23056"/>
      </w:pPr>
      <w:rPr>
        <w:rFonts w:ascii="Arial" w:eastAsia="Arial" w:hAnsi="Arial" w:cs="Arial"/>
      </w:rPr>
    </w:lvl>
  </w:abstractNum>
  <w:abstractNum w:abstractNumId="38" w15:restartNumberingAfterBreak="0">
    <w:nsid w:val="4EE44BAF"/>
    <w:multiLevelType w:val="multilevel"/>
    <w:tmpl w:val="8FE25618"/>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840"/>
      </w:pPr>
      <w:rPr>
        <w:rFonts w:ascii="Arial" w:eastAsia="Arial" w:hAnsi="Arial" w:cs="Arial"/>
      </w:rPr>
    </w:lvl>
    <w:lvl w:ilvl="3">
      <w:start w:val="1"/>
      <w:numFmt w:val="bullet"/>
      <w:lvlText w:val="●"/>
      <w:lvlJc w:val="left"/>
      <w:pPr>
        <w:ind w:left="2520" w:firstLine="9720"/>
      </w:pPr>
      <w:rPr>
        <w:rFonts w:ascii="Arial" w:eastAsia="Arial" w:hAnsi="Arial" w:cs="Arial"/>
      </w:r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39" w15:restartNumberingAfterBreak="0">
    <w:nsid w:val="51FB4DEC"/>
    <w:multiLevelType w:val="multilevel"/>
    <w:tmpl w:val="2FB4807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0" w15:restartNumberingAfterBreak="0">
    <w:nsid w:val="5206701A"/>
    <w:multiLevelType w:val="multilevel"/>
    <w:tmpl w:val="DC12252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1" w15:restartNumberingAfterBreak="0">
    <w:nsid w:val="521826DC"/>
    <w:multiLevelType w:val="hybridMultilevel"/>
    <w:tmpl w:val="0BBA3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A831863"/>
    <w:multiLevelType w:val="multilevel"/>
    <w:tmpl w:val="A70AB628"/>
    <w:lvl w:ilvl="0">
      <w:start w:val="1"/>
      <w:numFmt w:val="decimal"/>
      <w:lvlText w:val="%1."/>
      <w:lvlJc w:val="left"/>
      <w:pPr>
        <w:ind w:left="1800" w:firstLine="6120"/>
      </w:pPr>
    </w:lvl>
    <w:lvl w:ilvl="1">
      <w:start w:val="1"/>
      <w:numFmt w:val="lowerLetter"/>
      <w:lvlText w:val="%2."/>
      <w:lvlJc w:val="left"/>
      <w:pPr>
        <w:ind w:left="2520" w:firstLine="9000"/>
      </w:pPr>
    </w:lvl>
    <w:lvl w:ilvl="2">
      <w:start w:val="1"/>
      <w:numFmt w:val="lowerRoman"/>
      <w:lvlText w:val="%3."/>
      <w:lvlJc w:val="right"/>
      <w:pPr>
        <w:ind w:left="3240" w:firstLine="12060"/>
      </w:pPr>
    </w:lvl>
    <w:lvl w:ilvl="3">
      <w:start w:val="1"/>
      <w:numFmt w:val="decimal"/>
      <w:lvlText w:val="%4."/>
      <w:lvlJc w:val="left"/>
      <w:pPr>
        <w:ind w:left="3960" w:firstLine="14760"/>
      </w:pPr>
    </w:lvl>
    <w:lvl w:ilvl="4">
      <w:start w:val="1"/>
      <w:numFmt w:val="lowerLetter"/>
      <w:lvlText w:val="%5."/>
      <w:lvlJc w:val="left"/>
      <w:pPr>
        <w:ind w:left="4680" w:firstLine="17640"/>
      </w:pPr>
    </w:lvl>
    <w:lvl w:ilvl="5">
      <w:start w:val="1"/>
      <w:numFmt w:val="lowerRoman"/>
      <w:lvlText w:val="%6."/>
      <w:lvlJc w:val="right"/>
      <w:pPr>
        <w:ind w:left="5400" w:firstLine="20700"/>
      </w:pPr>
    </w:lvl>
    <w:lvl w:ilvl="6">
      <w:start w:val="1"/>
      <w:numFmt w:val="decimal"/>
      <w:lvlText w:val="%7."/>
      <w:lvlJc w:val="left"/>
      <w:pPr>
        <w:ind w:left="6120" w:firstLine="23400"/>
      </w:pPr>
    </w:lvl>
    <w:lvl w:ilvl="7">
      <w:start w:val="1"/>
      <w:numFmt w:val="lowerLetter"/>
      <w:lvlText w:val="%8."/>
      <w:lvlJc w:val="left"/>
      <w:pPr>
        <w:ind w:left="6840" w:firstLine="26280"/>
      </w:pPr>
    </w:lvl>
    <w:lvl w:ilvl="8">
      <w:start w:val="1"/>
      <w:numFmt w:val="lowerRoman"/>
      <w:lvlText w:val="%9."/>
      <w:lvlJc w:val="right"/>
      <w:pPr>
        <w:ind w:left="7560" w:firstLine="29340"/>
      </w:pPr>
    </w:lvl>
  </w:abstractNum>
  <w:abstractNum w:abstractNumId="43" w15:restartNumberingAfterBreak="0">
    <w:nsid w:val="5E7C7EDE"/>
    <w:multiLevelType w:val="multilevel"/>
    <w:tmpl w:val="ABC642C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4" w15:restartNumberingAfterBreak="0">
    <w:nsid w:val="60282874"/>
    <w:multiLevelType w:val="multilevel"/>
    <w:tmpl w:val="4B764EA0"/>
    <w:lvl w:ilvl="0">
      <w:start w:val="1"/>
      <w:numFmt w:val="bullet"/>
      <w:lvlText w:val="●"/>
      <w:lvlJc w:val="left"/>
      <w:pPr>
        <w:ind w:left="1080" w:firstLine="3960"/>
      </w:pPr>
      <w:rPr>
        <w:rFonts w:ascii="Arial" w:eastAsia="Arial" w:hAnsi="Arial" w:cs="Arial"/>
      </w:rPr>
    </w:lvl>
    <w:lvl w:ilvl="1">
      <w:start w:val="1"/>
      <w:numFmt w:val="bullet"/>
      <w:lvlText w:val="o"/>
      <w:lvlJc w:val="left"/>
      <w:pPr>
        <w:ind w:left="1800" w:firstLine="6840"/>
      </w:pPr>
      <w:rPr>
        <w:rFonts w:ascii="Arial" w:eastAsia="Arial" w:hAnsi="Arial" w:cs="Arial"/>
      </w:rPr>
    </w:lvl>
    <w:lvl w:ilvl="2">
      <w:start w:val="1"/>
      <w:numFmt w:val="bullet"/>
      <w:lvlText w:val="▪"/>
      <w:lvlJc w:val="left"/>
      <w:pPr>
        <w:ind w:left="2520" w:firstLine="9720"/>
      </w:pPr>
      <w:rPr>
        <w:rFonts w:ascii="Arial" w:eastAsia="Arial" w:hAnsi="Arial" w:cs="Arial"/>
      </w:rPr>
    </w:lvl>
    <w:lvl w:ilvl="3">
      <w:start w:val="1"/>
      <w:numFmt w:val="bullet"/>
      <w:lvlText w:val="●"/>
      <w:lvlJc w:val="left"/>
      <w:pPr>
        <w:ind w:left="3240" w:firstLine="12600"/>
      </w:pPr>
      <w:rPr>
        <w:rFonts w:ascii="Arial" w:eastAsia="Arial" w:hAnsi="Arial" w:cs="Arial"/>
      </w:rPr>
    </w:lvl>
    <w:lvl w:ilvl="4">
      <w:start w:val="1"/>
      <w:numFmt w:val="bullet"/>
      <w:lvlText w:val="o"/>
      <w:lvlJc w:val="left"/>
      <w:pPr>
        <w:ind w:left="3960" w:firstLine="15480"/>
      </w:pPr>
      <w:rPr>
        <w:rFonts w:ascii="Arial" w:eastAsia="Arial" w:hAnsi="Arial" w:cs="Arial"/>
      </w:rPr>
    </w:lvl>
    <w:lvl w:ilvl="5">
      <w:start w:val="1"/>
      <w:numFmt w:val="bullet"/>
      <w:lvlText w:val="▪"/>
      <w:lvlJc w:val="left"/>
      <w:pPr>
        <w:ind w:left="4680" w:firstLine="18360"/>
      </w:pPr>
      <w:rPr>
        <w:rFonts w:ascii="Arial" w:eastAsia="Arial" w:hAnsi="Arial" w:cs="Arial"/>
      </w:rPr>
    </w:lvl>
    <w:lvl w:ilvl="6">
      <w:start w:val="1"/>
      <w:numFmt w:val="bullet"/>
      <w:lvlText w:val="●"/>
      <w:lvlJc w:val="left"/>
      <w:pPr>
        <w:ind w:left="5400" w:firstLine="21240"/>
      </w:pPr>
      <w:rPr>
        <w:rFonts w:ascii="Arial" w:eastAsia="Arial" w:hAnsi="Arial" w:cs="Arial"/>
      </w:rPr>
    </w:lvl>
    <w:lvl w:ilvl="7">
      <w:start w:val="1"/>
      <w:numFmt w:val="bullet"/>
      <w:lvlText w:val="o"/>
      <w:lvlJc w:val="left"/>
      <w:pPr>
        <w:ind w:left="6120" w:firstLine="24120"/>
      </w:pPr>
      <w:rPr>
        <w:rFonts w:ascii="Arial" w:eastAsia="Arial" w:hAnsi="Arial" w:cs="Arial"/>
      </w:rPr>
    </w:lvl>
    <w:lvl w:ilvl="8">
      <w:start w:val="1"/>
      <w:numFmt w:val="bullet"/>
      <w:lvlText w:val="▪"/>
      <w:lvlJc w:val="left"/>
      <w:pPr>
        <w:ind w:left="6840" w:firstLine="27000"/>
      </w:pPr>
      <w:rPr>
        <w:rFonts w:ascii="Arial" w:eastAsia="Arial" w:hAnsi="Arial" w:cs="Arial"/>
      </w:rPr>
    </w:lvl>
  </w:abstractNum>
  <w:abstractNum w:abstractNumId="45" w15:restartNumberingAfterBreak="0">
    <w:nsid w:val="642F362C"/>
    <w:multiLevelType w:val="multilevel"/>
    <w:tmpl w:val="F920FF3C"/>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46" w15:restartNumberingAfterBreak="0">
    <w:nsid w:val="66406631"/>
    <w:multiLevelType w:val="multilevel"/>
    <w:tmpl w:val="594ABDD4"/>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840"/>
      </w:pPr>
      <w:rPr>
        <w:rFonts w:ascii="Arial" w:eastAsia="Arial" w:hAnsi="Arial" w:cs="Arial"/>
      </w:rPr>
    </w:lvl>
    <w:lvl w:ilvl="3">
      <w:start w:val="1"/>
      <w:numFmt w:val="bullet"/>
      <w:lvlText w:val="●"/>
      <w:lvlJc w:val="left"/>
      <w:pPr>
        <w:ind w:left="2520" w:firstLine="9720"/>
      </w:pPr>
      <w:rPr>
        <w:rFonts w:ascii="Arial" w:eastAsia="Arial" w:hAnsi="Arial" w:cs="Arial"/>
      </w:r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47" w15:restartNumberingAfterBreak="0">
    <w:nsid w:val="6C734842"/>
    <w:multiLevelType w:val="multilevel"/>
    <w:tmpl w:val="B83A06F0"/>
    <w:lvl w:ilvl="0">
      <w:start w:val="1"/>
      <w:numFmt w:val="bullet"/>
      <w:lvlText w:val="●"/>
      <w:lvlJc w:val="left"/>
      <w:pPr>
        <w:ind w:left="720" w:firstLine="4680"/>
      </w:pPr>
      <w:rPr>
        <w:rFonts w:ascii="Arial" w:eastAsia="Arial" w:hAnsi="Arial" w:cs="Arial"/>
      </w:rPr>
    </w:lvl>
    <w:lvl w:ilvl="1">
      <w:start w:val="1"/>
      <w:numFmt w:val="bullet"/>
      <w:lvlText w:val="o"/>
      <w:lvlJc w:val="left"/>
      <w:pPr>
        <w:ind w:left="1440" w:firstLine="9720"/>
      </w:pPr>
      <w:rPr>
        <w:rFonts w:ascii="Arial" w:eastAsia="Arial" w:hAnsi="Arial" w:cs="Arial"/>
      </w:rPr>
    </w:lvl>
    <w:lvl w:ilvl="2">
      <w:start w:val="1"/>
      <w:numFmt w:val="bullet"/>
      <w:lvlText w:val="▪"/>
      <w:lvlJc w:val="left"/>
      <w:pPr>
        <w:ind w:left="2160" w:firstLine="14760"/>
      </w:pPr>
      <w:rPr>
        <w:rFonts w:ascii="Arial" w:eastAsia="Arial" w:hAnsi="Arial" w:cs="Arial"/>
      </w:rPr>
    </w:lvl>
    <w:lvl w:ilvl="3">
      <w:start w:val="1"/>
      <w:numFmt w:val="bullet"/>
      <w:lvlText w:val="●"/>
      <w:lvlJc w:val="left"/>
      <w:pPr>
        <w:ind w:left="2880" w:firstLine="19800"/>
      </w:pPr>
      <w:rPr>
        <w:rFonts w:ascii="Arial" w:eastAsia="Arial" w:hAnsi="Arial" w:cs="Arial"/>
      </w:rPr>
    </w:lvl>
    <w:lvl w:ilvl="4">
      <w:start w:val="1"/>
      <w:numFmt w:val="bullet"/>
      <w:lvlText w:val="o"/>
      <w:lvlJc w:val="left"/>
      <w:pPr>
        <w:ind w:left="3600" w:firstLine="24840"/>
      </w:pPr>
      <w:rPr>
        <w:rFonts w:ascii="Arial" w:eastAsia="Arial" w:hAnsi="Arial" w:cs="Arial"/>
      </w:rPr>
    </w:lvl>
    <w:lvl w:ilvl="5">
      <w:start w:val="1"/>
      <w:numFmt w:val="bullet"/>
      <w:lvlText w:val="▪"/>
      <w:lvlJc w:val="left"/>
      <w:pPr>
        <w:ind w:left="4320" w:firstLine="29880"/>
      </w:pPr>
      <w:rPr>
        <w:rFonts w:ascii="Arial" w:eastAsia="Arial" w:hAnsi="Arial" w:cs="Arial"/>
      </w:rPr>
    </w:lvl>
    <w:lvl w:ilvl="6">
      <w:start w:val="1"/>
      <w:numFmt w:val="bullet"/>
      <w:lvlText w:val="●"/>
      <w:lvlJc w:val="left"/>
      <w:pPr>
        <w:ind w:left="5040" w:hanging="30616"/>
      </w:pPr>
      <w:rPr>
        <w:rFonts w:ascii="Arial" w:eastAsia="Arial" w:hAnsi="Arial" w:cs="Arial"/>
      </w:rPr>
    </w:lvl>
    <w:lvl w:ilvl="7">
      <w:start w:val="1"/>
      <w:numFmt w:val="bullet"/>
      <w:lvlText w:val="o"/>
      <w:lvlJc w:val="left"/>
      <w:pPr>
        <w:ind w:left="5760" w:hanging="25576"/>
      </w:pPr>
      <w:rPr>
        <w:rFonts w:ascii="Arial" w:eastAsia="Arial" w:hAnsi="Arial" w:cs="Arial"/>
      </w:rPr>
    </w:lvl>
    <w:lvl w:ilvl="8">
      <w:start w:val="1"/>
      <w:numFmt w:val="bullet"/>
      <w:lvlText w:val="▪"/>
      <w:lvlJc w:val="left"/>
      <w:pPr>
        <w:ind w:left="6480" w:hanging="20536"/>
      </w:pPr>
      <w:rPr>
        <w:rFonts w:ascii="Arial" w:eastAsia="Arial" w:hAnsi="Arial" w:cs="Arial"/>
      </w:rPr>
    </w:lvl>
  </w:abstractNum>
  <w:abstractNum w:abstractNumId="48" w15:restartNumberingAfterBreak="0">
    <w:nsid w:val="6E4C22D7"/>
    <w:multiLevelType w:val="multilevel"/>
    <w:tmpl w:val="708C2742"/>
    <w:lvl w:ilvl="0">
      <w:start w:val="1"/>
      <w:numFmt w:val="decimal"/>
      <w:lvlText w:val="%1."/>
      <w:lvlJc w:val="left"/>
      <w:pPr>
        <w:ind w:left="720" w:firstLine="4680"/>
      </w:pPr>
    </w:lvl>
    <w:lvl w:ilvl="1">
      <w:start w:val="1"/>
      <w:numFmt w:val="lowerLetter"/>
      <w:lvlText w:val="%2."/>
      <w:lvlJc w:val="left"/>
      <w:pPr>
        <w:ind w:left="1440" w:firstLine="9720"/>
      </w:pPr>
      <w:rPr>
        <w:b w:val="0"/>
      </w:r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Roman"/>
      <w:lvlText w:val="%5)"/>
      <w:lvlJc w:val="left"/>
      <w:pPr>
        <w:ind w:left="3960" w:firstLine="2700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9" w15:restartNumberingAfterBreak="0">
    <w:nsid w:val="72C6638F"/>
    <w:multiLevelType w:val="multilevel"/>
    <w:tmpl w:val="433EEDB4"/>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50" w15:restartNumberingAfterBreak="0">
    <w:nsid w:val="73D86500"/>
    <w:multiLevelType w:val="multilevel"/>
    <w:tmpl w:val="D7F68356"/>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51" w15:restartNumberingAfterBreak="0">
    <w:nsid w:val="758A7972"/>
    <w:multiLevelType w:val="hybridMultilevel"/>
    <w:tmpl w:val="AAA2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81634D6"/>
    <w:multiLevelType w:val="multilevel"/>
    <w:tmpl w:val="653AD45E"/>
    <w:lvl w:ilvl="0">
      <w:start w:val="1"/>
      <w:numFmt w:val="bullet"/>
      <w:lvlText w:val="●"/>
      <w:lvlJc w:val="left"/>
      <w:pPr>
        <w:ind w:left="720" w:firstLine="4680"/>
      </w:pPr>
      <w:rPr>
        <w:rFonts w:ascii="Arial" w:eastAsia="Arial" w:hAnsi="Arial" w:cs="Arial"/>
      </w:rPr>
    </w:lvl>
    <w:lvl w:ilvl="1">
      <w:start w:val="1"/>
      <w:numFmt w:val="bullet"/>
      <w:lvlText w:val="o"/>
      <w:lvlJc w:val="left"/>
      <w:pPr>
        <w:ind w:left="1440" w:firstLine="9720"/>
      </w:pPr>
      <w:rPr>
        <w:rFonts w:ascii="Arial" w:eastAsia="Arial" w:hAnsi="Arial" w:cs="Arial"/>
      </w:rPr>
    </w:lvl>
    <w:lvl w:ilvl="2">
      <w:start w:val="1"/>
      <w:numFmt w:val="bullet"/>
      <w:lvlText w:val="▪"/>
      <w:lvlJc w:val="left"/>
      <w:pPr>
        <w:ind w:left="2160" w:firstLine="14760"/>
      </w:pPr>
      <w:rPr>
        <w:rFonts w:ascii="Arial" w:eastAsia="Arial" w:hAnsi="Arial" w:cs="Arial"/>
      </w:rPr>
    </w:lvl>
    <w:lvl w:ilvl="3">
      <w:start w:val="1"/>
      <w:numFmt w:val="bullet"/>
      <w:lvlText w:val="●"/>
      <w:lvlJc w:val="left"/>
      <w:pPr>
        <w:ind w:left="2880" w:firstLine="19800"/>
      </w:pPr>
      <w:rPr>
        <w:rFonts w:ascii="Arial" w:eastAsia="Arial" w:hAnsi="Arial" w:cs="Arial"/>
      </w:rPr>
    </w:lvl>
    <w:lvl w:ilvl="4">
      <w:start w:val="1"/>
      <w:numFmt w:val="bullet"/>
      <w:lvlText w:val="o"/>
      <w:lvlJc w:val="left"/>
      <w:pPr>
        <w:ind w:left="3600" w:firstLine="24840"/>
      </w:pPr>
      <w:rPr>
        <w:rFonts w:ascii="Arial" w:eastAsia="Arial" w:hAnsi="Arial" w:cs="Arial"/>
      </w:rPr>
    </w:lvl>
    <w:lvl w:ilvl="5">
      <w:start w:val="1"/>
      <w:numFmt w:val="bullet"/>
      <w:lvlText w:val="▪"/>
      <w:lvlJc w:val="left"/>
      <w:pPr>
        <w:ind w:left="4320" w:firstLine="29880"/>
      </w:pPr>
      <w:rPr>
        <w:rFonts w:ascii="Arial" w:eastAsia="Arial" w:hAnsi="Arial" w:cs="Arial"/>
      </w:rPr>
    </w:lvl>
    <w:lvl w:ilvl="6">
      <w:start w:val="1"/>
      <w:numFmt w:val="bullet"/>
      <w:lvlText w:val="●"/>
      <w:lvlJc w:val="left"/>
      <w:pPr>
        <w:ind w:left="5040" w:hanging="30616"/>
      </w:pPr>
      <w:rPr>
        <w:rFonts w:ascii="Arial" w:eastAsia="Arial" w:hAnsi="Arial" w:cs="Arial"/>
      </w:rPr>
    </w:lvl>
    <w:lvl w:ilvl="7">
      <w:start w:val="1"/>
      <w:numFmt w:val="bullet"/>
      <w:lvlText w:val="o"/>
      <w:lvlJc w:val="left"/>
      <w:pPr>
        <w:ind w:left="5760" w:hanging="25576"/>
      </w:pPr>
      <w:rPr>
        <w:rFonts w:ascii="Arial" w:eastAsia="Arial" w:hAnsi="Arial" w:cs="Arial"/>
      </w:rPr>
    </w:lvl>
    <w:lvl w:ilvl="8">
      <w:start w:val="1"/>
      <w:numFmt w:val="bullet"/>
      <w:lvlText w:val="▪"/>
      <w:lvlJc w:val="left"/>
      <w:pPr>
        <w:ind w:left="6480" w:hanging="20536"/>
      </w:pPr>
      <w:rPr>
        <w:rFonts w:ascii="Arial" w:eastAsia="Arial" w:hAnsi="Arial" w:cs="Arial"/>
      </w:rPr>
    </w:lvl>
  </w:abstractNum>
  <w:abstractNum w:abstractNumId="53" w15:restartNumberingAfterBreak="0">
    <w:nsid w:val="7A061D86"/>
    <w:multiLevelType w:val="multilevel"/>
    <w:tmpl w:val="9E5CB408"/>
    <w:lvl w:ilvl="0">
      <w:start w:val="1"/>
      <w:numFmt w:val="bullet"/>
      <w:lvlText w:val="●"/>
      <w:lvlJc w:val="left"/>
      <w:pPr>
        <w:ind w:left="1080" w:firstLine="3960"/>
      </w:pPr>
      <w:rPr>
        <w:rFonts w:ascii="Arial" w:eastAsia="Arial" w:hAnsi="Arial" w:cs="Arial"/>
      </w:rPr>
    </w:lvl>
    <w:lvl w:ilvl="1">
      <w:start w:val="1"/>
      <w:numFmt w:val="bullet"/>
      <w:lvlText w:val="o"/>
      <w:lvlJc w:val="left"/>
      <w:pPr>
        <w:ind w:left="1800" w:firstLine="6840"/>
      </w:pPr>
      <w:rPr>
        <w:rFonts w:ascii="Arial" w:eastAsia="Arial" w:hAnsi="Arial" w:cs="Arial"/>
      </w:rPr>
    </w:lvl>
    <w:lvl w:ilvl="2">
      <w:start w:val="1"/>
      <w:numFmt w:val="bullet"/>
      <w:lvlText w:val="▪"/>
      <w:lvlJc w:val="left"/>
      <w:pPr>
        <w:ind w:left="2520" w:firstLine="9720"/>
      </w:pPr>
      <w:rPr>
        <w:rFonts w:ascii="Arial" w:eastAsia="Arial" w:hAnsi="Arial" w:cs="Arial"/>
      </w:rPr>
    </w:lvl>
    <w:lvl w:ilvl="3">
      <w:start w:val="1"/>
      <w:numFmt w:val="bullet"/>
      <w:lvlText w:val="●"/>
      <w:lvlJc w:val="left"/>
      <w:pPr>
        <w:ind w:left="3240" w:firstLine="12600"/>
      </w:pPr>
      <w:rPr>
        <w:rFonts w:ascii="Arial" w:eastAsia="Arial" w:hAnsi="Arial" w:cs="Arial"/>
      </w:rPr>
    </w:lvl>
    <w:lvl w:ilvl="4">
      <w:start w:val="1"/>
      <w:numFmt w:val="bullet"/>
      <w:lvlText w:val="o"/>
      <w:lvlJc w:val="left"/>
      <w:pPr>
        <w:ind w:left="3960" w:firstLine="15480"/>
      </w:pPr>
      <w:rPr>
        <w:rFonts w:ascii="Arial" w:eastAsia="Arial" w:hAnsi="Arial" w:cs="Arial"/>
      </w:rPr>
    </w:lvl>
    <w:lvl w:ilvl="5">
      <w:start w:val="1"/>
      <w:numFmt w:val="bullet"/>
      <w:lvlText w:val="▪"/>
      <w:lvlJc w:val="left"/>
      <w:pPr>
        <w:ind w:left="4680" w:firstLine="18360"/>
      </w:pPr>
      <w:rPr>
        <w:rFonts w:ascii="Arial" w:eastAsia="Arial" w:hAnsi="Arial" w:cs="Arial"/>
      </w:rPr>
    </w:lvl>
    <w:lvl w:ilvl="6">
      <w:start w:val="1"/>
      <w:numFmt w:val="bullet"/>
      <w:lvlText w:val="●"/>
      <w:lvlJc w:val="left"/>
      <w:pPr>
        <w:ind w:left="5400" w:firstLine="21240"/>
      </w:pPr>
      <w:rPr>
        <w:rFonts w:ascii="Arial" w:eastAsia="Arial" w:hAnsi="Arial" w:cs="Arial"/>
      </w:rPr>
    </w:lvl>
    <w:lvl w:ilvl="7">
      <w:start w:val="1"/>
      <w:numFmt w:val="bullet"/>
      <w:lvlText w:val="o"/>
      <w:lvlJc w:val="left"/>
      <w:pPr>
        <w:ind w:left="6120" w:firstLine="24120"/>
      </w:pPr>
      <w:rPr>
        <w:rFonts w:ascii="Arial" w:eastAsia="Arial" w:hAnsi="Arial" w:cs="Arial"/>
      </w:rPr>
    </w:lvl>
    <w:lvl w:ilvl="8">
      <w:start w:val="1"/>
      <w:numFmt w:val="bullet"/>
      <w:lvlText w:val="▪"/>
      <w:lvlJc w:val="left"/>
      <w:pPr>
        <w:ind w:left="6840" w:firstLine="27000"/>
      </w:pPr>
      <w:rPr>
        <w:rFonts w:ascii="Arial" w:eastAsia="Arial" w:hAnsi="Arial" w:cs="Arial"/>
      </w:rPr>
    </w:lvl>
  </w:abstractNum>
  <w:abstractNum w:abstractNumId="54" w15:restartNumberingAfterBreak="0">
    <w:nsid w:val="7A183761"/>
    <w:multiLevelType w:val="multilevel"/>
    <w:tmpl w:val="AA20F7C6"/>
    <w:lvl w:ilvl="0">
      <w:start w:val="1"/>
      <w:numFmt w:val="bullet"/>
      <w:lvlText w:val="●"/>
      <w:lvlJc w:val="left"/>
      <w:pPr>
        <w:ind w:left="780" w:firstLine="5100"/>
      </w:pPr>
      <w:rPr>
        <w:rFonts w:ascii="Arial" w:eastAsia="Arial" w:hAnsi="Arial" w:cs="Arial"/>
      </w:rPr>
    </w:lvl>
    <w:lvl w:ilvl="1">
      <w:start w:val="1"/>
      <w:numFmt w:val="bullet"/>
      <w:lvlText w:val="o"/>
      <w:lvlJc w:val="left"/>
      <w:pPr>
        <w:ind w:left="1500" w:firstLine="10140"/>
      </w:pPr>
      <w:rPr>
        <w:rFonts w:ascii="Arial" w:eastAsia="Arial" w:hAnsi="Arial" w:cs="Arial"/>
      </w:rPr>
    </w:lvl>
    <w:lvl w:ilvl="2">
      <w:start w:val="1"/>
      <w:numFmt w:val="bullet"/>
      <w:lvlText w:val="▪"/>
      <w:lvlJc w:val="left"/>
      <w:pPr>
        <w:ind w:left="2220" w:firstLine="15180"/>
      </w:pPr>
      <w:rPr>
        <w:rFonts w:ascii="Arial" w:eastAsia="Arial" w:hAnsi="Arial" w:cs="Arial"/>
      </w:rPr>
    </w:lvl>
    <w:lvl w:ilvl="3">
      <w:start w:val="1"/>
      <w:numFmt w:val="bullet"/>
      <w:lvlText w:val="●"/>
      <w:lvlJc w:val="left"/>
      <w:pPr>
        <w:ind w:left="2940" w:firstLine="20220"/>
      </w:pPr>
      <w:rPr>
        <w:rFonts w:ascii="Arial" w:eastAsia="Arial" w:hAnsi="Arial" w:cs="Arial"/>
      </w:rPr>
    </w:lvl>
    <w:lvl w:ilvl="4">
      <w:start w:val="1"/>
      <w:numFmt w:val="bullet"/>
      <w:lvlText w:val="o"/>
      <w:lvlJc w:val="left"/>
      <w:pPr>
        <w:ind w:left="3660" w:firstLine="25260"/>
      </w:pPr>
      <w:rPr>
        <w:rFonts w:ascii="Arial" w:eastAsia="Arial" w:hAnsi="Arial" w:cs="Arial"/>
      </w:rPr>
    </w:lvl>
    <w:lvl w:ilvl="5">
      <w:start w:val="1"/>
      <w:numFmt w:val="bullet"/>
      <w:lvlText w:val="▪"/>
      <w:lvlJc w:val="left"/>
      <w:pPr>
        <w:ind w:left="4380" w:firstLine="30300"/>
      </w:pPr>
      <w:rPr>
        <w:rFonts w:ascii="Arial" w:eastAsia="Arial" w:hAnsi="Arial" w:cs="Arial"/>
      </w:rPr>
    </w:lvl>
    <w:lvl w:ilvl="6">
      <w:start w:val="1"/>
      <w:numFmt w:val="bullet"/>
      <w:lvlText w:val="●"/>
      <w:lvlJc w:val="left"/>
      <w:pPr>
        <w:ind w:left="5100" w:hanging="30196"/>
      </w:pPr>
      <w:rPr>
        <w:rFonts w:ascii="Arial" w:eastAsia="Arial" w:hAnsi="Arial" w:cs="Arial"/>
      </w:rPr>
    </w:lvl>
    <w:lvl w:ilvl="7">
      <w:start w:val="1"/>
      <w:numFmt w:val="bullet"/>
      <w:lvlText w:val="o"/>
      <w:lvlJc w:val="left"/>
      <w:pPr>
        <w:ind w:left="5820" w:hanging="25156"/>
      </w:pPr>
      <w:rPr>
        <w:rFonts w:ascii="Arial" w:eastAsia="Arial" w:hAnsi="Arial" w:cs="Arial"/>
      </w:rPr>
    </w:lvl>
    <w:lvl w:ilvl="8">
      <w:start w:val="1"/>
      <w:numFmt w:val="bullet"/>
      <w:lvlText w:val="▪"/>
      <w:lvlJc w:val="left"/>
      <w:pPr>
        <w:ind w:left="6540" w:hanging="20116"/>
      </w:pPr>
      <w:rPr>
        <w:rFonts w:ascii="Arial" w:eastAsia="Arial" w:hAnsi="Arial" w:cs="Arial"/>
      </w:rPr>
    </w:lvl>
  </w:abstractNum>
  <w:abstractNum w:abstractNumId="55" w15:restartNumberingAfterBreak="0">
    <w:nsid w:val="7B61133E"/>
    <w:multiLevelType w:val="multilevel"/>
    <w:tmpl w:val="B334871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6" w15:restartNumberingAfterBreak="0">
    <w:nsid w:val="7D3D547E"/>
    <w:multiLevelType w:val="multilevel"/>
    <w:tmpl w:val="3F2268D2"/>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840"/>
      </w:pPr>
      <w:rPr>
        <w:rFonts w:ascii="Arial" w:eastAsia="Arial" w:hAnsi="Arial" w:cs="Arial"/>
      </w:rPr>
    </w:lvl>
    <w:lvl w:ilvl="3">
      <w:start w:val="1"/>
      <w:numFmt w:val="bullet"/>
      <w:lvlText w:val="●"/>
      <w:lvlJc w:val="left"/>
      <w:pPr>
        <w:ind w:left="2520" w:firstLine="9720"/>
      </w:pPr>
      <w:rPr>
        <w:rFonts w:ascii="Arial" w:eastAsia="Arial" w:hAnsi="Arial" w:cs="Arial"/>
      </w:r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num w:numId="1" w16cid:durableId="576863585">
    <w:abstractNumId w:val="42"/>
  </w:num>
  <w:num w:numId="2" w16cid:durableId="968322022">
    <w:abstractNumId w:val="43"/>
  </w:num>
  <w:num w:numId="3" w16cid:durableId="65499040">
    <w:abstractNumId w:val="19"/>
  </w:num>
  <w:num w:numId="4" w16cid:durableId="1464470002">
    <w:abstractNumId w:val="38"/>
  </w:num>
  <w:num w:numId="5" w16cid:durableId="656493418">
    <w:abstractNumId w:val="20"/>
  </w:num>
  <w:num w:numId="6" w16cid:durableId="1066880836">
    <w:abstractNumId w:val="46"/>
  </w:num>
  <w:num w:numId="7" w16cid:durableId="517701097">
    <w:abstractNumId w:val="49"/>
  </w:num>
  <w:num w:numId="8" w16cid:durableId="1391659367">
    <w:abstractNumId w:val="33"/>
  </w:num>
  <w:num w:numId="9" w16cid:durableId="1994066334">
    <w:abstractNumId w:val="26"/>
  </w:num>
  <w:num w:numId="10" w16cid:durableId="1797018707">
    <w:abstractNumId w:val="23"/>
  </w:num>
  <w:num w:numId="11" w16cid:durableId="1611473862">
    <w:abstractNumId w:val="5"/>
  </w:num>
  <w:num w:numId="12" w16cid:durableId="1435125458">
    <w:abstractNumId w:val="9"/>
  </w:num>
  <w:num w:numId="13" w16cid:durableId="1801916852">
    <w:abstractNumId w:val="14"/>
  </w:num>
  <w:num w:numId="14" w16cid:durableId="138112433">
    <w:abstractNumId w:val="4"/>
  </w:num>
  <w:num w:numId="15" w16cid:durableId="910654123">
    <w:abstractNumId w:val="22"/>
  </w:num>
  <w:num w:numId="16" w16cid:durableId="1179585843">
    <w:abstractNumId w:val="27"/>
  </w:num>
  <w:num w:numId="17" w16cid:durableId="882867882">
    <w:abstractNumId w:val="15"/>
  </w:num>
  <w:num w:numId="18" w16cid:durableId="2098820567">
    <w:abstractNumId w:val="35"/>
  </w:num>
  <w:num w:numId="19" w16cid:durableId="619872125">
    <w:abstractNumId w:val="44"/>
  </w:num>
  <w:num w:numId="20" w16cid:durableId="432210341">
    <w:abstractNumId w:val="45"/>
  </w:num>
  <w:num w:numId="21" w16cid:durableId="806750509">
    <w:abstractNumId w:val="7"/>
  </w:num>
  <w:num w:numId="22" w16cid:durableId="1659264079">
    <w:abstractNumId w:val="50"/>
  </w:num>
  <w:num w:numId="23" w16cid:durableId="104424563">
    <w:abstractNumId w:val="55"/>
  </w:num>
  <w:num w:numId="24" w16cid:durableId="94719449">
    <w:abstractNumId w:val="29"/>
  </w:num>
  <w:num w:numId="25" w16cid:durableId="1114521254">
    <w:abstractNumId w:val="40"/>
  </w:num>
  <w:num w:numId="26" w16cid:durableId="698163442">
    <w:abstractNumId w:val="13"/>
  </w:num>
  <w:num w:numId="27" w16cid:durableId="1604990794">
    <w:abstractNumId w:val="37"/>
  </w:num>
  <w:num w:numId="28" w16cid:durableId="934745595">
    <w:abstractNumId w:val="48"/>
  </w:num>
  <w:num w:numId="29" w16cid:durableId="1765884534">
    <w:abstractNumId w:val="8"/>
  </w:num>
  <w:num w:numId="30" w16cid:durableId="794720087">
    <w:abstractNumId w:val="1"/>
  </w:num>
  <w:num w:numId="31" w16cid:durableId="755594741">
    <w:abstractNumId w:val="28"/>
  </w:num>
  <w:num w:numId="32" w16cid:durableId="788208313">
    <w:abstractNumId w:val="36"/>
  </w:num>
  <w:num w:numId="33" w16cid:durableId="1962566448">
    <w:abstractNumId w:val="53"/>
  </w:num>
  <w:num w:numId="34" w16cid:durableId="760302047">
    <w:abstractNumId w:val="21"/>
  </w:num>
  <w:num w:numId="35" w16cid:durableId="912475491">
    <w:abstractNumId w:val="11"/>
  </w:num>
  <w:num w:numId="36" w16cid:durableId="1562138529">
    <w:abstractNumId w:val="0"/>
  </w:num>
  <w:num w:numId="37" w16cid:durableId="664823559">
    <w:abstractNumId w:val="25"/>
  </w:num>
  <w:num w:numId="38" w16cid:durableId="1027755747">
    <w:abstractNumId w:val="17"/>
  </w:num>
  <w:num w:numId="39" w16cid:durableId="2055693793">
    <w:abstractNumId w:val="54"/>
  </w:num>
  <w:num w:numId="40" w16cid:durableId="480583037">
    <w:abstractNumId w:val="10"/>
  </w:num>
  <w:num w:numId="41" w16cid:durableId="2083211334">
    <w:abstractNumId w:val="24"/>
  </w:num>
  <w:num w:numId="42" w16cid:durableId="671370803">
    <w:abstractNumId w:val="2"/>
  </w:num>
  <w:num w:numId="43" w16cid:durableId="2050260866">
    <w:abstractNumId w:val="56"/>
  </w:num>
  <w:num w:numId="44" w16cid:durableId="150753267">
    <w:abstractNumId w:val="47"/>
  </w:num>
  <w:num w:numId="45" w16cid:durableId="374815261">
    <w:abstractNumId w:val="32"/>
  </w:num>
  <w:num w:numId="46" w16cid:durableId="246809163">
    <w:abstractNumId w:val="34"/>
  </w:num>
  <w:num w:numId="47" w16cid:durableId="1517499630">
    <w:abstractNumId w:val="52"/>
  </w:num>
  <w:num w:numId="48" w16cid:durableId="167598312">
    <w:abstractNumId w:val="39"/>
  </w:num>
  <w:num w:numId="49" w16cid:durableId="1932083532">
    <w:abstractNumId w:val="6"/>
  </w:num>
  <w:num w:numId="50" w16cid:durableId="302735433">
    <w:abstractNumId w:val="30"/>
  </w:num>
  <w:num w:numId="51" w16cid:durableId="485587824">
    <w:abstractNumId w:val="51"/>
  </w:num>
  <w:num w:numId="52" w16cid:durableId="1047607054">
    <w:abstractNumId w:val="12"/>
  </w:num>
  <w:num w:numId="53" w16cid:durableId="364912256">
    <w:abstractNumId w:val="41"/>
  </w:num>
  <w:num w:numId="54" w16cid:durableId="1665621715">
    <w:abstractNumId w:val="18"/>
  </w:num>
  <w:num w:numId="55" w16cid:durableId="1176961444">
    <w:abstractNumId w:val="31"/>
  </w:num>
  <w:num w:numId="56" w16cid:durableId="992640749">
    <w:abstractNumId w:val="3"/>
  </w:num>
  <w:num w:numId="57" w16cid:durableId="169486224">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7"/>
    <w:rsid w:val="000038DE"/>
    <w:rsid w:val="000209F7"/>
    <w:rsid w:val="000245DC"/>
    <w:rsid w:val="00043068"/>
    <w:rsid w:val="00043C56"/>
    <w:rsid w:val="00082388"/>
    <w:rsid w:val="000A7804"/>
    <w:rsid w:val="000B263D"/>
    <w:rsid w:val="00102366"/>
    <w:rsid w:val="001341D1"/>
    <w:rsid w:val="00160F3D"/>
    <w:rsid w:val="001652C5"/>
    <w:rsid w:val="00166B05"/>
    <w:rsid w:val="001A4536"/>
    <w:rsid w:val="001A72B1"/>
    <w:rsid w:val="001B0696"/>
    <w:rsid w:val="001F53A0"/>
    <w:rsid w:val="002150FE"/>
    <w:rsid w:val="00290C2D"/>
    <w:rsid w:val="002971D3"/>
    <w:rsid w:val="002B41EF"/>
    <w:rsid w:val="002D43DE"/>
    <w:rsid w:val="002D5675"/>
    <w:rsid w:val="003015C0"/>
    <w:rsid w:val="0030574E"/>
    <w:rsid w:val="00312F0E"/>
    <w:rsid w:val="00342998"/>
    <w:rsid w:val="0034796D"/>
    <w:rsid w:val="00371290"/>
    <w:rsid w:val="0039269C"/>
    <w:rsid w:val="003B36AF"/>
    <w:rsid w:val="003B47E0"/>
    <w:rsid w:val="003E6AC2"/>
    <w:rsid w:val="00406E3C"/>
    <w:rsid w:val="0041061A"/>
    <w:rsid w:val="00420011"/>
    <w:rsid w:val="00463A10"/>
    <w:rsid w:val="004725D0"/>
    <w:rsid w:val="0047308A"/>
    <w:rsid w:val="004A5E43"/>
    <w:rsid w:val="004C7E34"/>
    <w:rsid w:val="004D0381"/>
    <w:rsid w:val="004D1BD3"/>
    <w:rsid w:val="004E1AD1"/>
    <w:rsid w:val="00556CB2"/>
    <w:rsid w:val="00564B82"/>
    <w:rsid w:val="0057064B"/>
    <w:rsid w:val="005754DC"/>
    <w:rsid w:val="00576D47"/>
    <w:rsid w:val="005D0811"/>
    <w:rsid w:val="005D3DF7"/>
    <w:rsid w:val="005D4467"/>
    <w:rsid w:val="00632344"/>
    <w:rsid w:val="00686D72"/>
    <w:rsid w:val="0069369F"/>
    <w:rsid w:val="006B6408"/>
    <w:rsid w:val="00702A4A"/>
    <w:rsid w:val="00705370"/>
    <w:rsid w:val="00717491"/>
    <w:rsid w:val="007254A1"/>
    <w:rsid w:val="00760EE9"/>
    <w:rsid w:val="007631EF"/>
    <w:rsid w:val="00772E84"/>
    <w:rsid w:val="007A4BD9"/>
    <w:rsid w:val="007C5120"/>
    <w:rsid w:val="008305C7"/>
    <w:rsid w:val="00832D37"/>
    <w:rsid w:val="0084324D"/>
    <w:rsid w:val="00853C42"/>
    <w:rsid w:val="008608A3"/>
    <w:rsid w:val="00874BD0"/>
    <w:rsid w:val="00883FAC"/>
    <w:rsid w:val="00884789"/>
    <w:rsid w:val="00884872"/>
    <w:rsid w:val="00884990"/>
    <w:rsid w:val="0089123D"/>
    <w:rsid w:val="008A609F"/>
    <w:rsid w:val="008E514F"/>
    <w:rsid w:val="00905B2C"/>
    <w:rsid w:val="00926D5A"/>
    <w:rsid w:val="00941566"/>
    <w:rsid w:val="009744C2"/>
    <w:rsid w:val="00984260"/>
    <w:rsid w:val="00997782"/>
    <w:rsid w:val="009C0765"/>
    <w:rsid w:val="009C5AC6"/>
    <w:rsid w:val="009E1B60"/>
    <w:rsid w:val="009E7877"/>
    <w:rsid w:val="00A02882"/>
    <w:rsid w:val="00A1236E"/>
    <w:rsid w:val="00A13B8D"/>
    <w:rsid w:val="00A35502"/>
    <w:rsid w:val="00A67279"/>
    <w:rsid w:val="00A94EC4"/>
    <w:rsid w:val="00AA0B68"/>
    <w:rsid w:val="00AA2839"/>
    <w:rsid w:val="00AB18B2"/>
    <w:rsid w:val="00AC731B"/>
    <w:rsid w:val="00AE04D6"/>
    <w:rsid w:val="00B216BA"/>
    <w:rsid w:val="00B2540D"/>
    <w:rsid w:val="00B55FC2"/>
    <w:rsid w:val="00B81A2D"/>
    <w:rsid w:val="00B848BA"/>
    <w:rsid w:val="00BB39CA"/>
    <w:rsid w:val="00BE2067"/>
    <w:rsid w:val="00C379C9"/>
    <w:rsid w:val="00C53365"/>
    <w:rsid w:val="00C8504A"/>
    <w:rsid w:val="00C90E3E"/>
    <w:rsid w:val="00CB265D"/>
    <w:rsid w:val="00CB65FE"/>
    <w:rsid w:val="00CD393E"/>
    <w:rsid w:val="00CE6882"/>
    <w:rsid w:val="00D2525E"/>
    <w:rsid w:val="00D31D26"/>
    <w:rsid w:val="00D40764"/>
    <w:rsid w:val="00D61D03"/>
    <w:rsid w:val="00D65F77"/>
    <w:rsid w:val="00D83AB4"/>
    <w:rsid w:val="00D9344A"/>
    <w:rsid w:val="00DC1433"/>
    <w:rsid w:val="00DE5F65"/>
    <w:rsid w:val="00E30F8E"/>
    <w:rsid w:val="00E35770"/>
    <w:rsid w:val="00E37D7B"/>
    <w:rsid w:val="00E4147A"/>
    <w:rsid w:val="00E827B2"/>
    <w:rsid w:val="00EB4794"/>
    <w:rsid w:val="00ED175A"/>
    <w:rsid w:val="00EE35F4"/>
    <w:rsid w:val="00EE54D1"/>
    <w:rsid w:val="00EE759C"/>
    <w:rsid w:val="00EF5EF5"/>
    <w:rsid w:val="00F110FF"/>
    <w:rsid w:val="00F32D24"/>
    <w:rsid w:val="00F61DCB"/>
    <w:rsid w:val="00F7368F"/>
    <w:rsid w:val="00F745D3"/>
    <w:rsid w:val="00F77930"/>
    <w:rsid w:val="00F96528"/>
    <w:rsid w:val="00FB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E5B17E"/>
  <w15:docId w15:val="{4B842633-DC0E-4BA2-BAE0-3800A254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3DF7"/>
    <w:pPr>
      <w:spacing w:after="0" w:line="240" w:lineRule="auto"/>
      <w:ind w:firstLine="360"/>
    </w:pPr>
    <w:rPr>
      <w:rFonts w:ascii="Calibri" w:eastAsia="Calibri" w:hAnsi="Calibri" w:cs="Calibri"/>
      <w:color w:val="000000"/>
    </w:rPr>
  </w:style>
  <w:style w:type="paragraph" w:styleId="Heading1">
    <w:name w:val="heading 1"/>
    <w:basedOn w:val="Normal"/>
    <w:next w:val="Normal"/>
    <w:link w:val="Heading1Char"/>
    <w:rsid w:val="005D3DF7"/>
    <w:pPr>
      <w:keepNext/>
      <w:keepLines/>
      <w:spacing w:before="600" w:after="80"/>
      <w:ind w:firstLine="0"/>
      <w:outlineLvl w:val="0"/>
    </w:pPr>
    <w:rPr>
      <w:b/>
      <w:color w:val="1E2F13"/>
      <w:sz w:val="24"/>
      <w:szCs w:val="24"/>
    </w:rPr>
  </w:style>
  <w:style w:type="paragraph" w:styleId="Heading2">
    <w:name w:val="heading 2"/>
    <w:basedOn w:val="Normal"/>
    <w:next w:val="Normal"/>
    <w:link w:val="Heading2Char"/>
    <w:rsid w:val="005D3DF7"/>
    <w:pPr>
      <w:keepNext/>
      <w:keepLines/>
      <w:spacing w:before="200" w:after="80"/>
      <w:ind w:firstLine="0"/>
      <w:outlineLvl w:val="1"/>
    </w:pPr>
    <w:rPr>
      <w:color w:val="1E2F13"/>
      <w:sz w:val="24"/>
      <w:szCs w:val="24"/>
    </w:rPr>
  </w:style>
  <w:style w:type="paragraph" w:styleId="Heading3">
    <w:name w:val="heading 3"/>
    <w:basedOn w:val="Normal"/>
    <w:next w:val="Normal"/>
    <w:link w:val="Heading3Char"/>
    <w:rsid w:val="005D3DF7"/>
    <w:pPr>
      <w:keepNext/>
      <w:keepLines/>
      <w:spacing w:before="240" w:after="120"/>
      <w:ind w:firstLine="0"/>
      <w:outlineLvl w:val="2"/>
    </w:pPr>
    <w:rPr>
      <w:rFonts w:asciiTheme="majorHAnsi" w:hAnsiTheme="majorHAnsi"/>
      <w:color w:val="29401A"/>
      <w:sz w:val="28"/>
      <w:szCs w:val="24"/>
    </w:rPr>
  </w:style>
  <w:style w:type="paragraph" w:styleId="Heading4">
    <w:name w:val="heading 4"/>
    <w:basedOn w:val="Normal"/>
    <w:next w:val="Normal"/>
    <w:link w:val="Heading4Char"/>
    <w:rsid w:val="005D3DF7"/>
    <w:pPr>
      <w:keepNext/>
      <w:keepLines/>
      <w:spacing w:before="200" w:after="80"/>
      <w:ind w:firstLine="0"/>
      <w:outlineLvl w:val="3"/>
    </w:pPr>
    <w:rPr>
      <w:i/>
      <w:color w:val="29401A"/>
      <w:sz w:val="24"/>
      <w:szCs w:val="24"/>
    </w:rPr>
  </w:style>
  <w:style w:type="paragraph" w:styleId="Heading5">
    <w:name w:val="heading 5"/>
    <w:basedOn w:val="Normal"/>
    <w:next w:val="Normal"/>
    <w:link w:val="Heading5Char"/>
    <w:rsid w:val="005D3DF7"/>
    <w:pPr>
      <w:keepNext/>
      <w:keepLines/>
      <w:spacing w:before="200" w:after="80"/>
      <w:ind w:firstLine="0"/>
      <w:outlineLvl w:val="4"/>
    </w:pPr>
    <w:rPr>
      <w:color w:val="29401A"/>
    </w:rPr>
  </w:style>
  <w:style w:type="paragraph" w:styleId="Heading6">
    <w:name w:val="heading 6"/>
    <w:basedOn w:val="Normal"/>
    <w:next w:val="Normal"/>
    <w:link w:val="Heading6Char"/>
    <w:rsid w:val="005D3DF7"/>
    <w:pPr>
      <w:keepNext/>
      <w:keepLines/>
      <w:spacing w:before="280" w:after="100"/>
      <w:ind w:firstLine="0"/>
      <w:outlineLvl w:val="5"/>
    </w:pPr>
    <w:rPr>
      <w:i/>
      <w:color w:val="2940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DF7"/>
    <w:rPr>
      <w:rFonts w:ascii="Calibri" w:eastAsia="Calibri" w:hAnsi="Calibri" w:cs="Calibri"/>
      <w:b/>
      <w:color w:val="1E2F13"/>
      <w:sz w:val="24"/>
      <w:szCs w:val="24"/>
    </w:rPr>
  </w:style>
  <w:style w:type="character" w:customStyle="1" w:styleId="Heading2Char">
    <w:name w:val="Heading 2 Char"/>
    <w:basedOn w:val="DefaultParagraphFont"/>
    <w:link w:val="Heading2"/>
    <w:rsid w:val="005D3DF7"/>
    <w:rPr>
      <w:rFonts w:ascii="Calibri" w:eastAsia="Calibri" w:hAnsi="Calibri" w:cs="Calibri"/>
      <w:color w:val="1E2F13"/>
      <w:sz w:val="24"/>
      <w:szCs w:val="24"/>
    </w:rPr>
  </w:style>
  <w:style w:type="character" w:customStyle="1" w:styleId="Heading3Char">
    <w:name w:val="Heading 3 Char"/>
    <w:basedOn w:val="DefaultParagraphFont"/>
    <w:link w:val="Heading3"/>
    <w:rsid w:val="005D3DF7"/>
    <w:rPr>
      <w:rFonts w:asciiTheme="majorHAnsi" w:eastAsia="Calibri" w:hAnsiTheme="majorHAnsi" w:cs="Calibri"/>
      <w:color w:val="29401A"/>
      <w:sz w:val="28"/>
      <w:szCs w:val="24"/>
    </w:rPr>
  </w:style>
  <w:style w:type="character" w:customStyle="1" w:styleId="Heading4Char">
    <w:name w:val="Heading 4 Char"/>
    <w:basedOn w:val="DefaultParagraphFont"/>
    <w:link w:val="Heading4"/>
    <w:rsid w:val="005D3DF7"/>
    <w:rPr>
      <w:rFonts w:ascii="Calibri" w:eastAsia="Calibri" w:hAnsi="Calibri" w:cs="Calibri"/>
      <w:i/>
      <w:color w:val="29401A"/>
      <w:sz w:val="24"/>
      <w:szCs w:val="24"/>
    </w:rPr>
  </w:style>
  <w:style w:type="character" w:customStyle="1" w:styleId="Heading5Char">
    <w:name w:val="Heading 5 Char"/>
    <w:basedOn w:val="DefaultParagraphFont"/>
    <w:link w:val="Heading5"/>
    <w:rsid w:val="005D3DF7"/>
    <w:rPr>
      <w:rFonts w:ascii="Calibri" w:eastAsia="Calibri" w:hAnsi="Calibri" w:cs="Calibri"/>
      <w:color w:val="29401A"/>
    </w:rPr>
  </w:style>
  <w:style w:type="character" w:customStyle="1" w:styleId="Heading6Char">
    <w:name w:val="Heading 6 Char"/>
    <w:basedOn w:val="DefaultParagraphFont"/>
    <w:link w:val="Heading6"/>
    <w:rsid w:val="005D3DF7"/>
    <w:rPr>
      <w:rFonts w:ascii="Calibri" w:eastAsia="Calibri" w:hAnsi="Calibri" w:cs="Calibri"/>
      <w:i/>
      <w:color w:val="29401A"/>
    </w:rPr>
  </w:style>
  <w:style w:type="paragraph" w:styleId="Title">
    <w:name w:val="Title"/>
    <w:basedOn w:val="Normal"/>
    <w:next w:val="Normal"/>
    <w:link w:val="TitleChar"/>
    <w:rsid w:val="005D3DF7"/>
    <w:pPr>
      <w:keepNext/>
      <w:keepLines/>
      <w:ind w:firstLine="0"/>
      <w:jc w:val="center"/>
    </w:pPr>
    <w:rPr>
      <w:i/>
      <w:color w:val="141F0C"/>
      <w:sz w:val="60"/>
      <w:szCs w:val="60"/>
    </w:rPr>
  </w:style>
  <w:style w:type="character" w:customStyle="1" w:styleId="TitleChar">
    <w:name w:val="Title Char"/>
    <w:basedOn w:val="DefaultParagraphFont"/>
    <w:link w:val="Title"/>
    <w:rsid w:val="005D3DF7"/>
    <w:rPr>
      <w:rFonts w:ascii="Calibri" w:eastAsia="Calibri" w:hAnsi="Calibri" w:cs="Calibri"/>
      <w:i/>
      <w:color w:val="141F0C"/>
      <w:sz w:val="60"/>
      <w:szCs w:val="60"/>
    </w:rPr>
  </w:style>
  <w:style w:type="paragraph" w:styleId="Subtitle">
    <w:name w:val="Subtitle"/>
    <w:basedOn w:val="Normal"/>
    <w:next w:val="Normal"/>
    <w:link w:val="SubtitleChar"/>
    <w:rsid w:val="005D3DF7"/>
    <w:pPr>
      <w:keepNext/>
      <w:keepLines/>
      <w:spacing w:before="200" w:after="900"/>
      <w:ind w:firstLine="0"/>
      <w:jc w:val="right"/>
    </w:pPr>
    <w:rPr>
      <w:i/>
      <w:color w:val="666666"/>
      <w:sz w:val="24"/>
      <w:szCs w:val="24"/>
    </w:rPr>
  </w:style>
  <w:style w:type="character" w:customStyle="1" w:styleId="SubtitleChar">
    <w:name w:val="Subtitle Char"/>
    <w:basedOn w:val="DefaultParagraphFont"/>
    <w:link w:val="Subtitle"/>
    <w:rsid w:val="005D3DF7"/>
    <w:rPr>
      <w:rFonts w:ascii="Calibri" w:eastAsia="Calibri" w:hAnsi="Calibri" w:cs="Calibri"/>
      <w:i/>
      <w:color w:val="666666"/>
      <w:sz w:val="24"/>
      <w:szCs w:val="24"/>
    </w:rPr>
  </w:style>
  <w:style w:type="paragraph" w:styleId="CommentText">
    <w:name w:val="annotation text"/>
    <w:basedOn w:val="Normal"/>
    <w:link w:val="CommentTextChar"/>
    <w:uiPriority w:val="99"/>
    <w:semiHidden/>
    <w:unhideWhenUsed/>
    <w:rsid w:val="005D3DF7"/>
    <w:rPr>
      <w:sz w:val="20"/>
      <w:szCs w:val="20"/>
    </w:rPr>
  </w:style>
  <w:style w:type="character" w:customStyle="1" w:styleId="CommentTextChar">
    <w:name w:val="Comment Text Char"/>
    <w:basedOn w:val="DefaultParagraphFont"/>
    <w:link w:val="CommentText"/>
    <w:uiPriority w:val="99"/>
    <w:semiHidden/>
    <w:rsid w:val="005D3DF7"/>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5D3DF7"/>
    <w:rPr>
      <w:sz w:val="16"/>
      <w:szCs w:val="16"/>
    </w:rPr>
  </w:style>
  <w:style w:type="paragraph" w:styleId="BalloonText">
    <w:name w:val="Balloon Text"/>
    <w:basedOn w:val="Normal"/>
    <w:link w:val="BalloonTextChar"/>
    <w:uiPriority w:val="99"/>
    <w:semiHidden/>
    <w:unhideWhenUsed/>
    <w:rsid w:val="005D3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F7"/>
    <w:rPr>
      <w:rFonts w:ascii="Segoe UI" w:eastAsia="Calibri" w:hAnsi="Segoe UI" w:cs="Segoe UI"/>
      <w:color w:val="000000"/>
      <w:sz w:val="18"/>
      <w:szCs w:val="18"/>
    </w:rPr>
  </w:style>
  <w:style w:type="paragraph" w:styleId="Header">
    <w:name w:val="header"/>
    <w:basedOn w:val="Normal"/>
    <w:link w:val="HeaderChar"/>
    <w:uiPriority w:val="99"/>
    <w:unhideWhenUsed/>
    <w:rsid w:val="005D3DF7"/>
    <w:pPr>
      <w:tabs>
        <w:tab w:val="center" w:pos="4680"/>
        <w:tab w:val="right" w:pos="9360"/>
      </w:tabs>
    </w:pPr>
  </w:style>
  <w:style w:type="character" w:customStyle="1" w:styleId="HeaderChar">
    <w:name w:val="Header Char"/>
    <w:basedOn w:val="DefaultParagraphFont"/>
    <w:link w:val="Header"/>
    <w:uiPriority w:val="99"/>
    <w:rsid w:val="005D3DF7"/>
    <w:rPr>
      <w:rFonts w:ascii="Calibri" w:eastAsia="Calibri" w:hAnsi="Calibri" w:cs="Calibri"/>
      <w:color w:val="000000"/>
    </w:rPr>
  </w:style>
  <w:style w:type="paragraph" w:styleId="Footer">
    <w:name w:val="footer"/>
    <w:basedOn w:val="Normal"/>
    <w:link w:val="FooterChar"/>
    <w:uiPriority w:val="99"/>
    <w:unhideWhenUsed/>
    <w:rsid w:val="005D3DF7"/>
    <w:pPr>
      <w:tabs>
        <w:tab w:val="center" w:pos="4680"/>
        <w:tab w:val="right" w:pos="9360"/>
      </w:tabs>
    </w:pPr>
  </w:style>
  <w:style w:type="character" w:customStyle="1" w:styleId="FooterChar">
    <w:name w:val="Footer Char"/>
    <w:basedOn w:val="DefaultParagraphFont"/>
    <w:link w:val="Footer"/>
    <w:uiPriority w:val="99"/>
    <w:rsid w:val="005D3DF7"/>
    <w:rPr>
      <w:rFonts w:ascii="Calibri" w:eastAsia="Calibri" w:hAnsi="Calibri" w:cs="Calibri"/>
      <w:color w:val="000000"/>
    </w:rPr>
  </w:style>
  <w:style w:type="paragraph" w:styleId="TOCHeading">
    <w:name w:val="TOC Heading"/>
    <w:basedOn w:val="Heading1"/>
    <w:next w:val="Normal"/>
    <w:uiPriority w:val="39"/>
    <w:unhideWhenUsed/>
    <w:qFormat/>
    <w:rsid w:val="005D3DF7"/>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D3DF7"/>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AA0B68"/>
    <w:pPr>
      <w:tabs>
        <w:tab w:val="right" w:leader="dot" w:pos="9540"/>
      </w:tabs>
      <w:spacing w:before="240" w:after="120"/>
      <w:ind w:left="180" w:firstLine="0"/>
    </w:pPr>
    <w:rPr>
      <w:rFonts w:asciiTheme="majorHAnsi" w:hAnsiTheme="majorHAnsi"/>
      <w:smallCaps/>
      <w:noProof/>
      <w:szCs w:val="20"/>
    </w:rPr>
  </w:style>
  <w:style w:type="paragraph" w:styleId="TOC3">
    <w:name w:val="toc 3"/>
    <w:basedOn w:val="Normal"/>
    <w:next w:val="Normal"/>
    <w:autoRedefine/>
    <w:uiPriority w:val="39"/>
    <w:unhideWhenUsed/>
    <w:rsid w:val="005D3DF7"/>
    <w:pPr>
      <w:ind w:left="440"/>
    </w:pPr>
    <w:rPr>
      <w:rFonts w:asciiTheme="minorHAnsi" w:hAnsiTheme="minorHAnsi"/>
      <w:i/>
      <w:iCs/>
      <w:sz w:val="20"/>
      <w:szCs w:val="20"/>
    </w:rPr>
  </w:style>
  <w:style w:type="character" w:styleId="Hyperlink">
    <w:name w:val="Hyperlink"/>
    <w:basedOn w:val="DefaultParagraphFont"/>
    <w:uiPriority w:val="99"/>
    <w:unhideWhenUsed/>
    <w:rsid w:val="005D3DF7"/>
    <w:rPr>
      <w:color w:val="0000FF" w:themeColor="hyperlink"/>
      <w:u w:val="single"/>
    </w:rPr>
  </w:style>
  <w:style w:type="paragraph" w:styleId="TOC4">
    <w:name w:val="toc 4"/>
    <w:basedOn w:val="Normal"/>
    <w:next w:val="Normal"/>
    <w:autoRedefine/>
    <w:uiPriority w:val="39"/>
    <w:unhideWhenUsed/>
    <w:rsid w:val="005D3DF7"/>
    <w:pPr>
      <w:ind w:left="660"/>
    </w:pPr>
    <w:rPr>
      <w:rFonts w:asciiTheme="minorHAnsi" w:hAnsiTheme="minorHAnsi"/>
      <w:sz w:val="18"/>
      <w:szCs w:val="18"/>
    </w:rPr>
  </w:style>
  <w:style w:type="paragraph" w:styleId="TOC5">
    <w:name w:val="toc 5"/>
    <w:basedOn w:val="Normal"/>
    <w:next w:val="Normal"/>
    <w:autoRedefine/>
    <w:uiPriority w:val="39"/>
    <w:unhideWhenUsed/>
    <w:rsid w:val="005D3DF7"/>
    <w:pPr>
      <w:ind w:left="880"/>
    </w:pPr>
    <w:rPr>
      <w:rFonts w:asciiTheme="minorHAnsi" w:hAnsiTheme="minorHAnsi"/>
      <w:sz w:val="18"/>
      <w:szCs w:val="18"/>
    </w:rPr>
  </w:style>
  <w:style w:type="paragraph" w:styleId="TOC6">
    <w:name w:val="toc 6"/>
    <w:basedOn w:val="Normal"/>
    <w:next w:val="Normal"/>
    <w:autoRedefine/>
    <w:uiPriority w:val="39"/>
    <w:unhideWhenUsed/>
    <w:rsid w:val="005D3DF7"/>
    <w:pPr>
      <w:ind w:left="1100"/>
    </w:pPr>
    <w:rPr>
      <w:rFonts w:asciiTheme="minorHAnsi" w:hAnsiTheme="minorHAnsi"/>
      <w:sz w:val="18"/>
      <w:szCs w:val="18"/>
    </w:rPr>
  </w:style>
  <w:style w:type="paragraph" w:styleId="TOC7">
    <w:name w:val="toc 7"/>
    <w:basedOn w:val="Normal"/>
    <w:next w:val="Normal"/>
    <w:autoRedefine/>
    <w:uiPriority w:val="39"/>
    <w:unhideWhenUsed/>
    <w:rsid w:val="005D3DF7"/>
    <w:pPr>
      <w:ind w:left="1320"/>
    </w:pPr>
    <w:rPr>
      <w:rFonts w:asciiTheme="minorHAnsi" w:hAnsiTheme="minorHAnsi"/>
      <w:sz w:val="18"/>
      <w:szCs w:val="18"/>
    </w:rPr>
  </w:style>
  <w:style w:type="paragraph" w:styleId="TOC8">
    <w:name w:val="toc 8"/>
    <w:basedOn w:val="Normal"/>
    <w:next w:val="Normal"/>
    <w:autoRedefine/>
    <w:uiPriority w:val="39"/>
    <w:unhideWhenUsed/>
    <w:rsid w:val="005D3DF7"/>
    <w:pPr>
      <w:ind w:left="1540"/>
    </w:pPr>
    <w:rPr>
      <w:rFonts w:asciiTheme="minorHAnsi" w:hAnsiTheme="minorHAnsi"/>
      <w:sz w:val="18"/>
      <w:szCs w:val="18"/>
    </w:rPr>
  </w:style>
  <w:style w:type="paragraph" w:styleId="TOC9">
    <w:name w:val="toc 9"/>
    <w:basedOn w:val="Normal"/>
    <w:next w:val="Normal"/>
    <w:autoRedefine/>
    <w:uiPriority w:val="39"/>
    <w:unhideWhenUsed/>
    <w:rsid w:val="005D3DF7"/>
    <w:pPr>
      <w:ind w:left="1760"/>
    </w:pPr>
    <w:rPr>
      <w:rFonts w:asciiTheme="minorHAnsi" w:hAnsiTheme="minorHAnsi"/>
      <w:sz w:val="18"/>
      <w:szCs w:val="18"/>
    </w:rPr>
  </w:style>
  <w:style w:type="paragraph" w:styleId="ListParagraph">
    <w:name w:val="List Paragraph"/>
    <w:basedOn w:val="Normal"/>
    <w:uiPriority w:val="34"/>
    <w:qFormat/>
    <w:rsid w:val="005D3DF7"/>
    <w:pPr>
      <w:ind w:left="720"/>
      <w:contextualSpacing/>
    </w:pPr>
  </w:style>
  <w:style w:type="paragraph" w:styleId="CommentSubject">
    <w:name w:val="annotation subject"/>
    <w:basedOn w:val="CommentText"/>
    <w:next w:val="CommentText"/>
    <w:link w:val="CommentSubjectChar"/>
    <w:uiPriority w:val="99"/>
    <w:semiHidden/>
    <w:unhideWhenUsed/>
    <w:rsid w:val="005D3DF7"/>
    <w:rPr>
      <w:b/>
      <w:bCs/>
    </w:rPr>
  </w:style>
  <w:style w:type="character" w:customStyle="1" w:styleId="CommentSubjectChar">
    <w:name w:val="Comment Subject Char"/>
    <w:basedOn w:val="CommentTextChar"/>
    <w:link w:val="CommentSubject"/>
    <w:uiPriority w:val="99"/>
    <w:semiHidden/>
    <w:rsid w:val="005D3DF7"/>
    <w:rPr>
      <w:rFonts w:ascii="Calibri" w:eastAsia="Calibri" w:hAnsi="Calibri" w:cs="Calibri"/>
      <w:b/>
      <w:bCs/>
      <w:color w:val="000000"/>
      <w:sz w:val="20"/>
      <w:szCs w:val="20"/>
    </w:rPr>
  </w:style>
  <w:style w:type="paragraph" w:styleId="FootnoteText">
    <w:name w:val="footnote text"/>
    <w:basedOn w:val="Normal"/>
    <w:link w:val="FootnoteTextChar"/>
    <w:uiPriority w:val="99"/>
    <w:semiHidden/>
    <w:unhideWhenUsed/>
    <w:rsid w:val="00686D72"/>
    <w:rPr>
      <w:sz w:val="20"/>
      <w:szCs w:val="20"/>
    </w:rPr>
  </w:style>
  <w:style w:type="character" w:customStyle="1" w:styleId="FootnoteTextChar">
    <w:name w:val="Footnote Text Char"/>
    <w:basedOn w:val="DefaultParagraphFont"/>
    <w:link w:val="FootnoteText"/>
    <w:uiPriority w:val="99"/>
    <w:semiHidden/>
    <w:rsid w:val="00686D7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686D72"/>
    <w:rPr>
      <w:vertAlign w:val="superscript"/>
    </w:rPr>
  </w:style>
  <w:style w:type="character" w:customStyle="1" w:styleId="e2ma-style">
    <w:name w:val="e2ma-style"/>
    <w:basedOn w:val="DefaultParagraphFont"/>
    <w:rsid w:val="00A9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csal.colostate.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csal.colostate.edu/" TargetMode="External"/><Relationship Id="rId2" Type="http://schemas.openxmlformats.org/officeDocument/2006/relationships/numbering" Target="numbering.xml"/><Relationship Id="rId16" Type="http://schemas.openxmlformats.org/officeDocument/2006/relationships/hyperlink" Target="http://static.colostate.edu/client-files/provost/PlanforExcellen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tatic.colostate.edu/client-files/provost/PlanforExcellence.pdf" TargetMode="External"/><Relationship Id="rId10" Type="http://schemas.openxmlformats.org/officeDocument/2006/relationships/footer" Target="footer2.xml"/><Relationship Id="rId19" Type="http://schemas.openxmlformats.org/officeDocument/2006/relationships/hyperlink" Target="http://www.hrs.colostate.edu/benefi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sal.colostate.edu/csu/survey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ulink.colorado.edu/wm/mail/fetch.html?urlid=g300ce93d4499bb821ffe036f3c1f8dbbaj9p5nljel&amp;url=http%3A%2F%2Fwww.colorado.edu%2Ffacultyaffairs%2Fatoz%2FAA_instructor_response.pdf" TargetMode="External"/><Relationship Id="rId1" Type="http://schemas.openxmlformats.org/officeDocument/2006/relationships/hyperlink" Target="http://www.ncte.org/cccc/resources/positions/working-conditions-n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FA75-52EF-4059-8AEB-DAA69788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24164</Words>
  <Characters>137736</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reference</dc:creator>
  <cp:lastModifiedBy>Morse,Jenny</cp:lastModifiedBy>
  <cp:revision>2</cp:revision>
  <cp:lastPrinted>2016-06-28T15:20:00Z</cp:lastPrinted>
  <dcterms:created xsi:type="dcterms:W3CDTF">2022-04-05T22:42:00Z</dcterms:created>
  <dcterms:modified xsi:type="dcterms:W3CDTF">2022-04-05T22:42:00Z</dcterms:modified>
</cp:coreProperties>
</file>